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3B0B5" w14:textId="495B570B" w:rsidR="00E03992" w:rsidRPr="00D1291B" w:rsidRDefault="007774FA" w:rsidP="00E03992">
      <w:pPr>
        <w:spacing w:after="0" w:line="240" w:lineRule="auto"/>
        <w:jc w:val="center"/>
        <w:rPr>
          <w:rFonts w:cs="Times New Roman"/>
          <w:b/>
          <w:bCs/>
        </w:rPr>
      </w:pPr>
      <w:r>
        <w:rPr>
          <w:rFonts w:cs="Times New Roman"/>
          <w:b/>
          <w:bCs/>
        </w:rPr>
        <w:t>STATYBOS</w:t>
      </w:r>
      <w:r w:rsidR="00D1291B" w:rsidRPr="00D1291B">
        <w:rPr>
          <w:rFonts w:cs="Times New Roman"/>
          <w:b/>
          <w:bCs/>
        </w:rPr>
        <w:t xml:space="preserve"> INŽINERIJOS STUDIJŲ KRYPTIES </w:t>
      </w:r>
      <w:r w:rsidR="00E03992" w:rsidRPr="00D1291B">
        <w:rPr>
          <w:rFonts w:cs="Times New Roman"/>
          <w:b/>
          <w:bCs/>
        </w:rPr>
        <w:t>IŠORINIO VERTINIMO REKOMENDACIJŲ</w:t>
      </w:r>
      <w:r w:rsidR="00D1291B" w:rsidRPr="00D1291B">
        <w:rPr>
          <w:rFonts w:cs="Times New Roman"/>
          <w:b/>
          <w:bCs/>
        </w:rPr>
        <w:t xml:space="preserve"> VYKDYMO PLANAS</w:t>
      </w:r>
      <w:r w:rsidR="00E03992" w:rsidRPr="00D1291B">
        <w:rPr>
          <w:rFonts w:cs="Times New Roman"/>
          <w:b/>
          <w:bCs/>
        </w:rPr>
        <w:t xml:space="preserve"> </w:t>
      </w:r>
    </w:p>
    <w:p w14:paraId="6E3E58CA" w14:textId="23790A69" w:rsidR="000F069E" w:rsidRPr="000F069E" w:rsidRDefault="00BA4479" w:rsidP="007774FA">
      <w:pPr>
        <w:spacing w:after="0" w:line="240" w:lineRule="auto"/>
        <w:jc w:val="center"/>
        <w:rPr>
          <w:rFonts w:cs="Times New Roman"/>
          <w:b/>
        </w:rPr>
      </w:pPr>
      <w:r>
        <w:rPr>
          <w:rFonts w:cs="Times New Roman"/>
          <w:b/>
        </w:rPr>
        <w:t>202</w:t>
      </w:r>
      <w:r w:rsidR="007774FA">
        <w:rPr>
          <w:rFonts w:cs="Times New Roman"/>
          <w:b/>
        </w:rPr>
        <w:t>2</w:t>
      </w:r>
      <w:r>
        <w:rPr>
          <w:rFonts w:cs="Times New Roman"/>
          <w:b/>
        </w:rPr>
        <w:t>-0</w:t>
      </w:r>
      <w:r w:rsidR="00A90D71">
        <w:rPr>
          <w:rFonts w:cs="Times New Roman"/>
          <w:b/>
        </w:rPr>
        <w:t>6</w:t>
      </w:r>
      <w:r>
        <w:rPr>
          <w:rFonts w:cs="Times New Roman"/>
          <w:b/>
        </w:rPr>
        <w:t>-30</w:t>
      </w:r>
    </w:p>
    <w:p w14:paraId="68E123F5" w14:textId="08F9D077" w:rsidR="00E03992" w:rsidRDefault="00E03992" w:rsidP="007774FA">
      <w:pPr>
        <w:spacing w:after="0" w:line="240" w:lineRule="auto"/>
        <w:jc w:val="both"/>
        <w:rPr>
          <w:rFonts w:cs="Times New Roman"/>
        </w:rPr>
      </w:pPr>
    </w:p>
    <w:p w14:paraId="72BF25F7" w14:textId="77777777" w:rsidR="007774FA" w:rsidRPr="000F069E" w:rsidRDefault="007774FA" w:rsidP="007774FA">
      <w:pPr>
        <w:spacing w:after="0" w:line="240" w:lineRule="auto"/>
        <w:jc w:val="both"/>
        <w:rPr>
          <w:rFonts w:cs="Times New Roman"/>
        </w:rPr>
      </w:pPr>
    </w:p>
    <w:tbl>
      <w:tblPr>
        <w:tblStyle w:val="TableGrid"/>
        <w:tblW w:w="5000" w:type="pct"/>
        <w:tblLook w:val="04A0" w:firstRow="1" w:lastRow="0" w:firstColumn="1" w:lastColumn="0" w:noHBand="0" w:noVBand="1"/>
      </w:tblPr>
      <w:tblGrid>
        <w:gridCol w:w="1551"/>
        <w:gridCol w:w="3688"/>
        <w:gridCol w:w="3688"/>
        <w:gridCol w:w="2266"/>
        <w:gridCol w:w="2269"/>
        <w:gridCol w:w="2232"/>
      </w:tblGrid>
      <w:tr w:rsidR="0057499C" w:rsidRPr="000F069E" w14:paraId="4D7779FA" w14:textId="333A3913" w:rsidTr="00A90D71">
        <w:trPr>
          <w:cantSplit/>
          <w:tblHeader/>
        </w:trPr>
        <w:tc>
          <w:tcPr>
            <w:tcW w:w="494" w:type="pct"/>
            <w:vAlign w:val="center"/>
          </w:tcPr>
          <w:p w14:paraId="202D6178" w14:textId="77777777" w:rsidR="000926E4" w:rsidRPr="007774FA" w:rsidRDefault="000926E4" w:rsidP="007774FA">
            <w:pPr>
              <w:jc w:val="center"/>
              <w:rPr>
                <w:rFonts w:cs="Times New Roman"/>
                <w:b/>
              </w:rPr>
            </w:pPr>
            <w:r w:rsidRPr="007774FA">
              <w:rPr>
                <w:rFonts w:cs="Times New Roman"/>
                <w:b/>
              </w:rPr>
              <w:t>Vertinamoji sritis</w:t>
            </w:r>
          </w:p>
        </w:tc>
        <w:tc>
          <w:tcPr>
            <w:tcW w:w="1175" w:type="pct"/>
            <w:vAlign w:val="center"/>
          </w:tcPr>
          <w:p w14:paraId="08010EEA" w14:textId="37DFBD55" w:rsidR="000926E4" w:rsidRPr="007774FA" w:rsidRDefault="000926E4" w:rsidP="007774FA">
            <w:pPr>
              <w:jc w:val="center"/>
              <w:rPr>
                <w:rFonts w:cs="Times New Roman"/>
                <w:b/>
              </w:rPr>
            </w:pPr>
            <w:r w:rsidRPr="007774FA">
              <w:rPr>
                <w:rFonts w:cs="Times New Roman"/>
                <w:b/>
              </w:rPr>
              <w:t xml:space="preserve">Ekspertų rekomendacijos vertinimo </w:t>
            </w:r>
            <w:r w:rsidR="007774FA">
              <w:rPr>
                <w:rFonts w:cs="Times New Roman"/>
                <w:b/>
              </w:rPr>
              <w:t>sričiai</w:t>
            </w:r>
          </w:p>
        </w:tc>
        <w:tc>
          <w:tcPr>
            <w:tcW w:w="1175" w:type="pct"/>
            <w:vAlign w:val="center"/>
          </w:tcPr>
          <w:p w14:paraId="2BA5E413" w14:textId="72C2C65A" w:rsidR="000926E4" w:rsidRPr="007774FA" w:rsidRDefault="000926E4" w:rsidP="007774FA">
            <w:pPr>
              <w:jc w:val="center"/>
              <w:rPr>
                <w:rFonts w:cs="Times New Roman"/>
                <w:b/>
              </w:rPr>
            </w:pPr>
            <w:r w:rsidRPr="007774FA">
              <w:rPr>
                <w:rFonts w:cs="Times New Roman"/>
                <w:b/>
              </w:rPr>
              <w:t>Planuojami veiksmai</w:t>
            </w:r>
          </w:p>
        </w:tc>
        <w:tc>
          <w:tcPr>
            <w:tcW w:w="722" w:type="pct"/>
            <w:vAlign w:val="center"/>
          </w:tcPr>
          <w:p w14:paraId="162B882B" w14:textId="0691BA1A" w:rsidR="000926E4" w:rsidRPr="007774FA" w:rsidRDefault="000926E4" w:rsidP="007774FA">
            <w:pPr>
              <w:jc w:val="center"/>
              <w:rPr>
                <w:rFonts w:cs="Times New Roman"/>
                <w:b/>
              </w:rPr>
            </w:pPr>
            <w:r w:rsidRPr="007774FA">
              <w:rPr>
                <w:rFonts w:cs="Times New Roman"/>
                <w:b/>
              </w:rPr>
              <w:t>Įgyvendinimo terminai</w:t>
            </w:r>
          </w:p>
        </w:tc>
        <w:tc>
          <w:tcPr>
            <w:tcW w:w="723" w:type="pct"/>
            <w:vAlign w:val="center"/>
          </w:tcPr>
          <w:p w14:paraId="1F13963E" w14:textId="1F9D3A35" w:rsidR="000926E4" w:rsidRPr="007774FA" w:rsidRDefault="000926E4" w:rsidP="007774FA">
            <w:pPr>
              <w:jc w:val="center"/>
              <w:rPr>
                <w:rFonts w:cs="Times New Roman"/>
                <w:b/>
              </w:rPr>
            </w:pPr>
            <w:r w:rsidRPr="007774FA">
              <w:rPr>
                <w:rFonts w:cs="Times New Roman"/>
                <w:b/>
              </w:rPr>
              <w:t>Atsakingi asmenys/padaliniai</w:t>
            </w:r>
          </w:p>
        </w:tc>
        <w:tc>
          <w:tcPr>
            <w:tcW w:w="711" w:type="pct"/>
            <w:vAlign w:val="center"/>
          </w:tcPr>
          <w:p w14:paraId="5BAC50BD" w14:textId="7BC81100" w:rsidR="000926E4" w:rsidRPr="007774FA" w:rsidRDefault="000926E4" w:rsidP="007774FA">
            <w:pPr>
              <w:jc w:val="center"/>
              <w:rPr>
                <w:rFonts w:cs="Times New Roman"/>
                <w:b/>
              </w:rPr>
            </w:pPr>
            <w:r w:rsidRPr="007774FA">
              <w:rPr>
                <w:rFonts w:cs="Times New Roman"/>
                <w:b/>
              </w:rPr>
              <w:t>Pastabos</w:t>
            </w:r>
          </w:p>
        </w:tc>
      </w:tr>
      <w:tr w:rsidR="0057499C" w:rsidRPr="000F069E" w14:paraId="48A6807B" w14:textId="7CA23D65" w:rsidTr="00A90D71">
        <w:trPr>
          <w:cantSplit/>
        </w:trPr>
        <w:tc>
          <w:tcPr>
            <w:tcW w:w="494" w:type="pct"/>
            <w:vMerge w:val="restart"/>
          </w:tcPr>
          <w:p w14:paraId="7B8F4129" w14:textId="6A6A6939" w:rsidR="007774FA" w:rsidRPr="000F069E" w:rsidRDefault="003406A2" w:rsidP="007774FA">
            <w:pPr>
              <w:rPr>
                <w:rFonts w:cs="Times New Roman"/>
              </w:rPr>
            </w:pPr>
            <w:r>
              <w:t>Studijų tikslai, rezultatai ir turinys</w:t>
            </w:r>
          </w:p>
        </w:tc>
        <w:tc>
          <w:tcPr>
            <w:tcW w:w="1175" w:type="pct"/>
          </w:tcPr>
          <w:p w14:paraId="41C3BDD3" w14:textId="3E2346FC" w:rsidR="007774FA" w:rsidRPr="007774FA" w:rsidRDefault="007774FA" w:rsidP="007774FA">
            <w:r>
              <w:t>Sumažinti bereikalingai didelį programų ir specializacijų skaičių, vertinant studijų organizavimo efektyvumą ir tvarumą.</w:t>
            </w:r>
          </w:p>
        </w:tc>
        <w:tc>
          <w:tcPr>
            <w:tcW w:w="1175" w:type="pct"/>
          </w:tcPr>
          <w:p w14:paraId="0D563247" w14:textId="19EAFEA8" w:rsidR="00F00BBD" w:rsidRPr="000F069E" w:rsidRDefault="00A90D71" w:rsidP="007070B1">
            <w:pPr>
              <w:rPr>
                <w:rFonts w:cs="Times New Roman"/>
              </w:rPr>
            </w:pPr>
            <w:r>
              <w:rPr>
                <w:rFonts w:cs="Times New Roman"/>
              </w:rPr>
              <w:t>Studijų programas ir specializacijas aptarti studijų programų komitetuose bendradarbiaujant su socialiniais partneriais atsižvelgiant į stojimų rezultatus</w:t>
            </w:r>
            <w:r w:rsidR="00EC3CAA">
              <w:rPr>
                <w:rFonts w:cs="Times New Roman"/>
              </w:rPr>
              <w:t>, studentų skaičių</w:t>
            </w:r>
            <w:r>
              <w:rPr>
                <w:rFonts w:cs="Times New Roman"/>
              </w:rPr>
              <w:t xml:space="preserve"> ir specialistų poreikį rinkoje.</w:t>
            </w:r>
            <w:r w:rsidR="00EC3CAA">
              <w:rPr>
                <w:rFonts w:cs="Times New Roman"/>
              </w:rPr>
              <w:t xml:space="preserve"> Atsižvelgiant į rezultatus įvertinti galimybes studijų programų apjungimui, nutraukimui (įskaitant ir specializacijas).</w:t>
            </w:r>
          </w:p>
        </w:tc>
        <w:tc>
          <w:tcPr>
            <w:tcW w:w="722" w:type="pct"/>
          </w:tcPr>
          <w:p w14:paraId="3ED3937A" w14:textId="1493CE3F" w:rsidR="007774FA" w:rsidRPr="000F069E" w:rsidRDefault="00A90D71" w:rsidP="00A90D71">
            <w:pPr>
              <w:jc w:val="center"/>
              <w:rPr>
                <w:rFonts w:cs="Times New Roman"/>
              </w:rPr>
            </w:pPr>
            <w:r>
              <w:rPr>
                <w:rFonts w:cs="Times New Roman"/>
              </w:rPr>
              <w:t>Nuo 2022-09-01 iki 2024-08-30</w:t>
            </w:r>
          </w:p>
        </w:tc>
        <w:tc>
          <w:tcPr>
            <w:tcW w:w="723" w:type="pct"/>
          </w:tcPr>
          <w:p w14:paraId="55CD8650" w14:textId="7CC65A7D" w:rsidR="007774FA" w:rsidRPr="000F069E" w:rsidRDefault="00A90D71" w:rsidP="00E03992">
            <w:pPr>
              <w:jc w:val="center"/>
              <w:rPr>
                <w:rFonts w:cs="Times New Roman"/>
              </w:rPr>
            </w:pPr>
            <w:r>
              <w:rPr>
                <w:rFonts w:cs="Times New Roman"/>
              </w:rPr>
              <w:t>Studijų programų komitetai</w:t>
            </w:r>
          </w:p>
        </w:tc>
        <w:tc>
          <w:tcPr>
            <w:tcW w:w="711" w:type="pct"/>
          </w:tcPr>
          <w:p w14:paraId="771A4A9E" w14:textId="77777777" w:rsidR="007774FA" w:rsidRPr="000F069E" w:rsidRDefault="007774FA" w:rsidP="00E03992">
            <w:pPr>
              <w:jc w:val="center"/>
              <w:rPr>
                <w:rFonts w:cs="Times New Roman"/>
              </w:rPr>
            </w:pPr>
          </w:p>
        </w:tc>
      </w:tr>
      <w:tr w:rsidR="0057499C" w:rsidRPr="000F069E" w14:paraId="333C0275" w14:textId="77777777" w:rsidTr="00A90D71">
        <w:trPr>
          <w:cantSplit/>
        </w:trPr>
        <w:tc>
          <w:tcPr>
            <w:tcW w:w="494" w:type="pct"/>
            <w:vMerge/>
          </w:tcPr>
          <w:p w14:paraId="1A5BB2FF" w14:textId="77777777" w:rsidR="007774FA" w:rsidRPr="007774FA" w:rsidRDefault="007774FA" w:rsidP="000F069E">
            <w:pPr>
              <w:jc w:val="center"/>
              <w:rPr>
                <w:rFonts w:cs="Times New Roman"/>
              </w:rPr>
            </w:pPr>
          </w:p>
        </w:tc>
        <w:tc>
          <w:tcPr>
            <w:tcW w:w="1175" w:type="pct"/>
          </w:tcPr>
          <w:p w14:paraId="4AEE9EE7" w14:textId="42041F10" w:rsidR="007774FA" w:rsidRDefault="007774FA" w:rsidP="007774FA">
            <w:r w:rsidRPr="007774FA">
              <w:t>Sumažinti atskirų programų struktūros skirtumus, suvienodinti studijų personalizavimo galimybes ir standartizuoti to paties pavadinimo ir turinio dalykų mokymosi rezultatus.</w:t>
            </w:r>
          </w:p>
        </w:tc>
        <w:tc>
          <w:tcPr>
            <w:tcW w:w="1175" w:type="pct"/>
          </w:tcPr>
          <w:p w14:paraId="3F52DB96" w14:textId="593D11AE" w:rsidR="00F00BBD" w:rsidRDefault="00EC3CAA" w:rsidP="00F00BBD">
            <w:pPr>
              <w:rPr>
                <w:rFonts w:cs="Times New Roman"/>
              </w:rPr>
            </w:pPr>
            <w:r>
              <w:rPr>
                <w:rFonts w:cs="Times New Roman"/>
              </w:rPr>
              <w:t>Giminingose studijų programose p</w:t>
            </w:r>
            <w:r w:rsidR="00A90D71">
              <w:rPr>
                <w:rFonts w:cs="Times New Roman"/>
              </w:rPr>
              <w:t>eržiūrėti studijų programų planus bei studijų dalykų modulių korteles ir atlikti taisymus jose suvienodinant mokymosi rezultatus.</w:t>
            </w:r>
          </w:p>
        </w:tc>
        <w:tc>
          <w:tcPr>
            <w:tcW w:w="722" w:type="pct"/>
          </w:tcPr>
          <w:p w14:paraId="68BED0E6" w14:textId="7401AD52" w:rsidR="007774FA" w:rsidRDefault="00A90D71" w:rsidP="00E03992">
            <w:pPr>
              <w:jc w:val="center"/>
              <w:rPr>
                <w:rFonts w:cs="Times New Roman"/>
              </w:rPr>
            </w:pPr>
            <w:r>
              <w:rPr>
                <w:rFonts w:cs="Times New Roman"/>
              </w:rPr>
              <w:t>Nuo 2022-09-01 iki 2024-08-30</w:t>
            </w:r>
          </w:p>
        </w:tc>
        <w:tc>
          <w:tcPr>
            <w:tcW w:w="723" w:type="pct"/>
          </w:tcPr>
          <w:p w14:paraId="7B60E55D" w14:textId="3F75C858" w:rsidR="007774FA" w:rsidRDefault="003005EA" w:rsidP="00E03992">
            <w:pPr>
              <w:jc w:val="center"/>
              <w:rPr>
                <w:rFonts w:cs="Times New Roman"/>
              </w:rPr>
            </w:pPr>
            <w:r>
              <w:rPr>
                <w:rFonts w:cs="Times New Roman"/>
              </w:rPr>
              <w:t>Statybos fakulteto katedros,</w:t>
            </w:r>
            <w:r w:rsidR="00A90D71">
              <w:rPr>
                <w:rFonts w:cs="Times New Roman"/>
              </w:rPr>
              <w:t xml:space="preserve"> Aplinkos inžinerijos fakulteto Kelių katedra ir studijų programų komitetai</w:t>
            </w:r>
          </w:p>
        </w:tc>
        <w:tc>
          <w:tcPr>
            <w:tcW w:w="711" w:type="pct"/>
          </w:tcPr>
          <w:p w14:paraId="4F4C0A82" w14:textId="77777777" w:rsidR="007774FA" w:rsidRPr="000F069E" w:rsidRDefault="007774FA" w:rsidP="00E03992">
            <w:pPr>
              <w:jc w:val="center"/>
              <w:rPr>
                <w:rFonts w:cs="Times New Roman"/>
              </w:rPr>
            </w:pPr>
          </w:p>
        </w:tc>
      </w:tr>
      <w:tr w:rsidR="0057499C" w:rsidRPr="000F069E" w14:paraId="524C69B1" w14:textId="46AD8436" w:rsidTr="00A90D71">
        <w:trPr>
          <w:cantSplit/>
        </w:trPr>
        <w:tc>
          <w:tcPr>
            <w:tcW w:w="494" w:type="pct"/>
          </w:tcPr>
          <w:p w14:paraId="369BCB39" w14:textId="789C40D7" w:rsidR="000926E4" w:rsidRPr="000F069E" w:rsidRDefault="007774FA" w:rsidP="007774FA">
            <w:pPr>
              <w:rPr>
                <w:rFonts w:cs="Times New Roman"/>
              </w:rPr>
            </w:pPr>
            <w:r w:rsidRPr="007774FA">
              <w:rPr>
                <w:rFonts w:cs="Times New Roman"/>
              </w:rPr>
              <w:t>Mokslo (meno) ir studijų sąsajos</w:t>
            </w:r>
          </w:p>
        </w:tc>
        <w:tc>
          <w:tcPr>
            <w:tcW w:w="1175" w:type="pct"/>
          </w:tcPr>
          <w:p w14:paraId="11D009B3" w14:textId="257F922C" w:rsidR="000926E4" w:rsidRPr="000F069E" w:rsidRDefault="007774FA" w:rsidP="007774FA">
            <w:pPr>
              <w:rPr>
                <w:rFonts w:cs="Times New Roman"/>
              </w:rPr>
            </w:pPr>
            <w:r w:rsidRPr="007774FA">
              <w:t>Turi būti gerinamas studentų, dalyvaujančių tarptautiniuose susitarimuose, ypač per Erasmus programą, skaičius.</w:t>
            </w:r>
          </w:p>
        </w:tc>
        <w:tc>
          <w:tcPr>
            <w:tcW w:w="1175" w:type="pct"/>
          </w:tcPr>
          <w:p w14:paraId="39F3DC11" w14:textId="77777777" w:rsidR="000926E4" w:rsidRDefault="00531C35" w:rsidP="00EC3CAA">
            <w:pPr>
              <w:rPr>
                <w:rFonts w:cs="Times New Roman"/>
              </w:rPr>
            </w:pPr>
            <w:r>
              <w:rPr>
                <w:rFonts w:cs="Times New Roman"/>
              </w:rPr>
              <w:t>Didinti informacijos sklaidą studentams</w:t>
            </w:r>
            <w:r w:rsidR="00EC3CAA">
              <w:rPr>
                <w:rFonts w:cs="Times New Roman"/>
              </w:rPr>
              <w:t xml:space="preserve"> (internetinėje svetainėje, el. paštu, susitikimuose)</w:t>
            </w:r>
            <w:r>
              <w:rPr>
                <w:rFonts w:cs="Times New Roman"/>
              </w:rPr>
              <w:t xml:space="preserve"> apie dalyvavimo išvykose pagal Erasmus programą pridėtinę vertę. Ieškoti būdu kaip studentus skatinti išvykti.</w:t>
            </w:r>
          </w:p>
          <w:p w14:paraId="7510D025" w14:textId="069F60C9" w:rsidR="00B57384" w:rsidRPr="000F069E" w:rsidRDefault="00B57384" w:rsidP="00B57384">
            <w:pPr>
              <w:rPr>
                <w:rFonts w:cs="Times New Roman"/>
              </w:rPr>
            </w:pPr>
          </w:p>
        </w:tc>
        <w:tc>
          <w:tcPr>
            <w:tcW w:w="722" w:type="pct"/>
          </w:tcPr>
          <w:p w14:paraId="210E1D85" w14:textId="7F63119B" w:rsidR="000926E4" w:rsidRPr="000F069E" w:rsidRDefault="00A90D71" w:rsidP="00E03992">
            <w:pPr>
              <w:jc w:val="center"/>
              <w:rPr>
                <w:rFonts w:cs="Times New Roman"/>
              </w:rPr>
            </w:pPr>
            <w:r>
              <w:rPr>
                <w:rFonts w:cs="Times New Roman"/>
              </w:rPr>
              <w:t>Nuo 2022-09-01 iki 2024-08-30</w:t>
            </w:r>
          </w:p>
        </w:tc>
        <w:tc>
          <w:tcPr>
            <w:tcW w:w="723" w:type="pct"/>
          </w:tcPr>
          <w:p w14:paraId="358F3762" w14:textId="0718C71B" w:rsidR="000926E4" w:rsidRPr="000F069E" w:rsidRDefault="003005EA" w:rsidP="00EC3CAA">
            <w:pPr>
              <w:jc w:val="center"/>
              <w:rPr>
                <w:rFonts w:cs="Times New Roman"/>
              </w:rPr>
            </w:pPr>
            <w:r>
              <w:rPr>
                <w:rFonts w:cs="Times New Roman"/>
              </w:rPr>
              <w:t xml:space="preserve">Statybos </w:t>
            </w:r>
            <w:r w:rsidR="00EC3CAA">
              <w:rPr>
                <w:rFonts w:cs="Times New Roman"/>
              </w:rPr>
              <w:t>ir Aplinkos inžinerijos fakultetai, jų katedros</w:t>
            </w:r>
          </w:p>
        </w:tc>
        <w:tc>
          <w:tcPr>
            <w:tcW w:w="711" w:type="pct"/>
          </w:tcPr>
          <w:p w14:paraId="09B5EC5A" w14:textId="77777777" w:rsidR="000926E4" w:rsidRPr="000F069E" w:rsidRDefault="000926E4" w:rsidP="00E03992">
            <w:pPr>
              <w:jc w:val="center"/>
              <w:rPr>
                <w:rFonts w:cs="Times New Roman"/>
              </w:rPr>
            </w:pPr>
          </w:p>
        </w:tc>
      </w:tr>
      <w:tr w:rsidR="003005EA" w:rsidRPr="000F069E" w14:paraId="17ACD024" w14:textId="2338FF48" w:rsidTr="00A90D71">
        <w:trPr>
          <w:cantSplit/>
        </w:trPr>
        <w:tc>
          <w:tcPr>
            <w:tcW w:w="494" w:type="pct"/>
            <w:vMerge w:val="restart"/>
          </w:tcPr>
          <w:p w14:paraId="587F82E4" w14:textId="60BD0CBD" w:rsidR="003005EA" w:rsidRPr="000F069E" w:rsidRDefault="003005EA" w:rsidP="007774FA">
            <w:pPr>
              <w:rPr>
                <w:rFonts w:cs="Times New Roman"/>
              </w:rPr>
            </w:pPr>
            <w:r w:rsidRPr="007774FA">
              <w:rPr>
                <w:rFonts w:cs="Times New Roman"/>
              </w:rPr>
              <w:lastRenderedPageBreak/>
              <w:t>Studentų priėmimas ir parama</w:t>
            </w:r>
          </w:p>
        </w:tc>
        <w:tc>
          <w:tcPr>
            <w:tcW w:w="1175" w:type="pct"/>
          </w:tcPr>
          <w:p w14:paraId="2ECD4BA2" w14:textId="38647112" w:rsidR="00F00BBD" w:rsidRPr="003005EA" w:rsidRDefault="003005EA" w:rsidP="00531C35">
            <w:r>
              <w:t>Išplėsti trumpalaikio mobilumo galimybes pirmosios ir antrosios pakopos studentams.</w:t>
            </w:r>
          </w:p>
        </w:tc>
        <w:tc>
          <w:tcPr>
            <w:tcW w:w="1175" w:type="pct"/>
          </w:tcPr>
          <w:p w14:paraId="14DB416C" w14:textId="246172DB" w:rsidR="003005EA" w:rsidRPr="000F069E" w:rsidRDefault="00EC3CAA" w:rsidP="00EC3CAA">
            <w:pPr>
              <w:rPr>
                <w:rFonts w:cs="Times New Roman"/>
              </w:rPr>
            </w:pPr>
            <w:r>
              <w:rPr>
                <w:rFonts w:cs="Times New Roman"/>
              </w:rPr>
              <w:t>Aptarti trumpalaikio studentų mobilumo galimybes su Užsienio ryšių direkcija. Įvertinti galimybes trumpalaikiam mobilumui pasinaudoti dėstytojui kartu su studentų grupe susijusio studijų dalyko apimtyje.</w:t>
            </w:r>
          </w:p>
        </w:tc>
        <w:tc>
          <w:tcPr>
            <w:tcW w:w="722" w:type="pct"/>
          </w:tcPr>
          <w:p w14:paraId="3A698F39" w14:textId="16A75A07" w:rsidR="003005EA" w:rsidRPr="000F069E" w:rsidRDefault="003005EA" w:rsidP="00E03992">
            <w:pPr>
              <w:jc w:val="center"/>
              <w:rPr>
                <w:rFonts w:cs="Times New Roman"/>
              </w:rPr>
            </w:pPr>
            <w:r>
              <w:rPr>
                <w:rFonts w:cs="Times New Roman"/>
              </w:rPr>
              <w:t>Nuo 2022-09-01 iki 2024-08-30</w:t>
            </w:r>
          </w:p>
        </w:tc>
        <w:tc>
          <w:tcPr>
            <w:tcW w:w="723" w:type="pct"/>
          </w:tcPr>
          <w:p w14:paraId="7EA84004" w14:textId="1CF1A538" w:rsidR="003005EA" w:rsidRPr="000F069E" w:rsidRDefault="00EC3CAA" w:rsidP="00EC3CAA">
            <w:pPr>
              <w:jc w:val="center"/>
              <w:rPr>
                <w:rFonts w:cs="Times New Roman"/>
              </w:rPr>
            </w:pPr>
            <w:r>
              <w:rPr>
                <w:rFonts w:cs="Times New Roman"/>
              </w:rPr>
              <w:t>Užsienio ryšių direkcija, Statybos fakulteto katedros ir Aplinkos inžinerijos fakulteto kelių katedra</w:t>
            </w:r>
          </w:p>
        </w:tc>
        <w:tc>
          <w:tcPr>
            <w:tcW w:w="711" w:type="pct"/>
          </w:tcPr>
          <w:p w14:paraId="5CA624AD" w14:textId="77777777" w:rsidR="003005EA" w:rsidRPr="000F069E" w:rsidRDefault="003005EA" w:rsidP="00E03992">
            <w:pPr>
              <w:jc w:val="center"/>
              <w:rPr>
                <w:rFonts w:cs="Times New Roman"/>
              </w:rPr>
            </w:pPr>
          </w:p>
        </w:tc>
      </w:tr>
      <w:tr w:rsidR="003005EA" w:rsidRPr="000F069E" w14:paraId="5294386F" w14:textId="77777777" w:rsidTr="00A90D71">
        <w:trPr>
          <w:cantSplit/>
        </w:trPr>
        <w:tc>
          <w:tcPr>
            <w:tcW w:w="494" w:type="pct"/>
            <w:vMerge/>
          </w:tcPr>
          <w:p w14:paraId="68B2919B" w14:textId="77777777" w:rsidR="003005EA" w:rsidRPr="007774FA" w:rsidRDefault="003005EA" w:rsidP="007774FA">
            <w:pPr>
              <w:rPr>
                <w:rFonts w:cs="Times New Roman"/>
              </w:rPr>
            </w:pPr>
          </w:p>
        </w:tc>
        <w:tc>
          <w:tcPr>
            <w:tcW w:w="1175" w:type="pct"/>
          </w:tcPr>
          <w:p w14:paraId="2588CA84" w14:textId="55FE8F59" w:rsidR="003005EA" w:rsidRDefault="003005EA" w:rsidP="007774FA">
            <w:r>
              <w:t>Bendradarbiaujant su socialiniais partneriais, studentais ir kitomis suinteresuotomis šalimis, diskutuoti apie studijų programų su mažu priėmimo lygiu tvarumą. Sudaryti studijų rinkodaros planą (apimantį platų laikotarpį, ne tik priėmimo laikotarpį), taip pat apklausti studentus (4 kurso), kad suvokti bendras pasirengimo studijoms antrojoje pakopoje nuotaikas.</w:t>
            </w:r>
          </w:p>
        </w:tc>
        <w:tc>
          <w:tcPr>
            <w:tcW w:w="1175" w:type="pct"/>
          </w:tcPr>
          <w:p w14:paraId="1A158EAE" w14:textId="77777777" w:rsidR="003005EA" w:rsidRDefault="000E4A8C" w:rsidP="003F4D50">
            <w:pPr>
              <w:rPr>
                <w:rFonts w:cs="Times New Roman"/>
              </w:rPr>
            </w:pPr>
            <w:r>
              <w:rPr>
                <w:rFonts w:cs="Times New Roman"/>
              </w:rPr>
              <w:t>Kiekvienų mokslo metų pradžioje atlikti I kurso studentų</w:t>
            </w:r>
            <w:r w:rsidR="003F4D50">
              <w:rPr>
                <w:rFonts w:cs="Times New Roman"/>
              </w:rPr>
              <w:t xml:space="preserve"> (bakalauro ir magistro studijų)</w:t>
            </w:r>
            <w:r>
              <w:rPr>
                <w:rFonts w:cs="Times New Roman"/>
              </w:rPr>
              <w:t xml:space="preserve"> apklausą priežastims</w:t>
            </w:r>
            <w:r w:rsidR="003F4D50">
              <w:rPr>
                <w:rFonts w:cs="Times New Roman"/>
              </w:rPr>
              <w:t>, dėl ko pasirinko studijuoti atitinkamoje studijų programoje</w:t>
            </w:r>
            <w:r>
              <w:rPr>
                <w:rFonts w:cs="Times New Roman"/>
              </w:rPr>
              <w:t xml:space="preserve"> nustatyti</w:t>
            </w:r>
            <w:r w:rsidR="003F4D50">
              <w:rPr>
                <w:rFonts w:cs="Times New Roman"/>
              </w:rPr>
              <w:t>. Suorganizuoti susitikimą su socialiniais partneriais ir kitomis suinteresuotomis šalimis studijų programų tvarumui aptarti. Studijų programų komitetuose parengti studijų programų patrauklumo didinimo planus.</w:t>
            </w:r>
          </w:p>
          <w:p w14:paraId="0BCDF050" w14:textId="66DED2C1" w:rsidR="00B57384" w:rsidRPr="00B57384" w:rsidRDefault="00B57384" w:rsidP="00B57384">
            <w:pPr>
              <w:rPr>
                <w:rFonts w:cs="Times New Roman"/>
                <w:color w:val="FF0000"/>
              </w:rPr>
            </w:pPr>
            <w:r w:rsidRPr="00A25EE5">
              <w:rPr>
                <w:rFonts w:cs="Times New Roman"/>
              </w:rPr>
              <w:t>Įpareigoti 4 kurso studentams specialybės disciplinas dėstančius dėstytojus aptarti su studentais antros pakopos studijose numatomas suteikti žinias ir šių žinių svarbą jų inžinerinei veiklai.</w:t>
            </w:r>
          </w:p>
        </w:tc>
        <w:tc>
          <w:tcPr>
            <w:tcW w:w="722" w:type="pct"/>
          </w:tcPr>
          <w:p w14:paraId="7688F60A" w14:textId="494D86BD" w:rsidR="003005EA" w:rsidRDefault="000E4A8C" w:rsidP="00E03992">
            <w:pPr>
              <w:jc w:val="center"/>
              <w:rPr>
                <w:rFonts w:cs="Times New Roman"/>
              </w:rPr>
            </w:pPr>
            <w:r>
              <w:rPr>
                <w:rFonts w:cs="Times New Roman"/>
              </w:rPr>
              <w:t>Nuo 2022-09-01 iki 2024-08-30</w:t>
            </w:r>
          </w:p>
        </w:tc>
        <w:tc>
          <w:tcPr>
            <w:tcW w:w="723" w:type="pct"/>
          </w:tcPr>
          <w:p w14:paraId="7F53DAAF" w14:textId="55AFA124" w:rsidR="003005EA" w:rsidRPr="000F069E" w:rsidRDefault="003F4D50" w:rsidP="00E03992">
            <w:pPr>
              <w:jc w:val="center"/>
              <w:rPr>
                <w:rFonts w:cs="Times New Roman"/>
              </w:rPr>
            </w:pPr>
            <w:r>
              <w:rPr>
                <w:rFonts w:cs="Times New Roman"/>
              </w:rPr>
              <w:t>Statybos fakulteto katedros, Aplinkos inžinerijos fakulteto Kelių katedra ir studijų programų komitetai</w:t>
            </w:r>
          </w:p>
        </w:tc>
        <w:tc>
          <w:tcPr>
            <w:tcW w:w="711" w:type="pct"/>
          </w:tcPr>
          <w:p w14:paraId="4EF971EC" w14:textId="77777777" w:rsidR="003005EA" w:rsidRPr="000F069E" w:rsidRDefault="003005EA" w:rsidP="00E03992">
            <w:pPr>
              <w:jc w:val="center"/>
              <w:rPr>
                <w:rFonts w:cs="Times New Roman"/>
              </w:rPr>
            </w:pPr>
          </w:p>
        </w:tc>
      </w:tr>
      <w:tr w:rsidR="0057499C" w:rsidRPr="000F069E" w14:paraId="53442232" w14:textId="6CD9F18A" w:rsidTr="00A90D71">
        <w:trPr>
          <w:cantSplit/>
        </w:trPr>
        <w:tc>
          <w:tcPr>
            <w:tcW w:w="494" w:type="pct"/>
          </w:tcPr>
          <w:p w14:paraId="5BB9C420" w14:textId="74E5EA08" w:rsidR="000926E4" w:rsidRPr="000F069E" w:rsidRDefault="006D0569" w:rsidP="007774FA">
            <w:pPr>
              <w:rPr>
                <w:rFonts w:cs="Times New Roman"/>
              </w:rPr>
            </w:pPr>
            <w:r>
              <w:lastRenderedPageBreak/>
              <w:t>Studijavimas, studijų pasiekimai ir absolventų užimtumas</w:t>
            </w:r>
          </w:p>
        </w:tc>
        <w:tc>
          <w:tcPr>
            <w:tcW w:w="1175" w:type="pct"/>
          </w:tcPr>
          <w:p w14:paraId="00A5F1AC" w14:textId="4A079C88" w:rsidR="000926E4" w:rsidRPr="000F069E" w:rsidRDefault="007774FA" w:rsidP="007774FA">
            <w:pPr>
              <w:rPr>
                <w:rFonts w:cs="Times New Roman"/>
              </w:rPr>
            </w:pPr>
            <w:r w:rsidRPr="007774FA">
              <w:t>Praktinį mokymą reikia pertvarkyti, darbdavius labiau įtraukti į jo įgyvendinimą ir realių atvejų sprendimų paiešką.</w:t>
            </w:r>
          </w:p>
        </w:tc>
        <w:tc>
          <w:tcPr>
            <w:tcW w:w="1175" w:type="pct"/>
          </w:tcPr>
          <w:p w14:paraId="7D9CD1D5" w14:textId="77777777" w:rsidR="000926E4" w:rsidRDefault="003F4D50" w:rsidP="003F4D50">
            <w:pPr>
              <w:rPr>
                <w:rFonts w:cs="Times New Roman"/>
              </w:rPr>
            </w:pPr>
            <w:r>
              <w:rPr>
                <w:rFonts w:cs="Times New Roman"/>
              </w:rPr>
              <w:t>Su studijų dalyko, kurio apimtyje yra praktiniai užsiėmimai, dėstytoju ir studijų programos komitetu aptarti galimybes praktiniuose užsiėmimuose taikyti realių atvejų sprendimus įtraukiant socialinius partnerius.</w:t>
            </w:r>
          </w:p>
          <w:p w14:paraId="7934F220" w14:textId="2E9569B9" w:rsidR="00B57384" w:rsidRPr="000F069E" w:rsidRDefault="00B57384" w:rsidP="00B57384">
            <w:pPr>
              <w:rPr>
                <w:rFonts w:cs="Times New Roman"/>
              </w:rPr>
            </w:pPr>
            <w:r w:rsidRPr="00A25EE5">
              <w:rPr>
                <w:rFonts w:cs="Times New Roman"/>
              </w:rPr>
              <w:t xml:space="preserve">Baigiamųjų darbų tematikas parinkti atsižvelgiant į socialinių partnerių  siūlymus. Įtraukti socialinius partnerius baigiamųjų darbų ruošimo konsultantais. </w:t>
            </w:r>
          </w:p>
        </w:tc>
        <w:tc>
          <w:tcPr>
            <w:tcW w:w="722" w:type="pct"/>
          </w:tcPr>
          <w:p w14:paraId="7F39C0FD" w14:textId="2D35759E" w:rsidR="000926E4" w:rsidRPr="000F069E" w:rsidRDefault="00A90D71" w:rsidP="00E03992">
            <w:pPr>
              <w:jc w:val="center"/>
              <w:rPr>
                <w:rFonts w:cs="Times New Roman"/>
              </w:rPr>
            </w:pPr>
            <w:r>
              <w:rPr>
                <w:rFonts w:cs="Times New Roman"/>
              </w:rPr>
              <w:t>Nuo 2022-09-01 iki 2024-08-30</w:t>
            </w:r>
          </w:p>
        </w:tc>
        <w:tc>
          <w:tcPr>
            <w:tcW w:w="723" w:type="pct"/>
          </w:tcPr>
          <w:p w14:paraId="65ADAFF4" w14:textId="40B2AEBD" w:rsidR="000926E4" w:rsidRPr="000F069E" w:rsidRDefault="003F4D50" w:rsidP="00E03992">
            <w:pPr>
              <w:jc w:val="center"/>
              <w:rPr>
                <w:rFonts w:cs="Times New Roman"/>
              </w:rPr>
            </w:pPr>
            <w:r>
              <w:rPr>
                <w:rFonts w:cs="Times New Roman"/>
              </w:rPr>
              <w:t>Studijų programų komitetai</w:t>
            </w:r>
          </w:p>
        </w:tc>
        <w:tc>
          <w:tcPr>
            <w:tcW w:w="711" w:type="pct"/>
          </w:tcPr>
          <w:p w14:paraId="00141C2B" w14:textId="77777777" w:rsidR="000926E4" w:rsidRPr="000F069E" w:rsidRDefault="000926E4" w:rsidP="00E03992">
            <w:pPr>
              <w:jc w:val="center"/>
              <w:rPr>
                <w:rFonts w:cs="Times New Roman"/>
              </w:rPr>
            </w:pPr>
          </w:p>
        </w:tc>
      </w:tr>
      <w:tr w:rsidR="0057499C" w:rsidRPr="000F069E" w14:paraId="5B0F114B" w14:textId="1E8959CA" w:rsidTr="00A90D71">
        <w:trPr>
          <w:cantSplit/>
        </w:trPr>
        <w:tc>
          <w:tcPr>
            <w:tcW w:w="494" w:type="pct"/>
            <w:vMerge w:val="restart"/>
          </w:tcPr>
          <w:p w14:paraId="77E0A9FC" w14:textId="33257471" w:rsidR="0057499C" w:rsidRPr="000F069E" w:rsidRDefault="0057499C" w:rsidP="007774FA">
            <w:pPr>
              <w:rPr>
                <w:rFonts w:cs="Times New Roman"/>
              </w:rPr>
            </w:pPr>
            <w:r>
              <w:rPr>
                <w:rFonts w:cs="Times New Roman"/>
              </w:rPr>
              <w:t>Dėstytojai</w:t>
            </w:r>
          </w:p>
        </w:tc>
        <w:tc>
          <w:tcPr>
            <w:tcW w:w="1175" w:type="pct"/>
          </w:tcPr>
          <w:p w14:paraId="00E60FE1" w14:textId="609FE4C4" w:rsidR="0057499C" w:rsidRPr="0014512D" w:rsidRDefault="0057499C" w:rsidP="0057499C">
            <w:r w:rsidRPr="0014512D">
              <w:t>Sukurkite papildomų paskatų (t. y. pinigų, mokamų kiekvienam mokytojui už kiekvieną WOS publikaciją), kad paskatintumėte dėstytojus toliau tobulinti savo mokslinių tyrimų rezultatus.</w:t>
            </w:r>
          </w:p>
        </w:tc>
        <w:tc>
          <w:tcPr>
            <w:tcW w:w="1175" w:type="pct"/>
          </w:tcPr>
          <w:p w14:paraId="14FBCA70" w14:textId="3400D0CB" w:rsidR="00104CC8" w:rsidRPr="0014512D" w:rsidRDefault="00104CC8" w:rsidP="00104CC8">
            <w:pPr>
              <w:rPr>
                <w:rFonts w:cs="Times New Roman"/>
              </w:rPr>
            </w:pPr>
            <w:r w:rsidRPr="0014512D">
              <w:rPr>
                <w:rFonts w:cs="Times New Roman"/>
              </w:rPr>
              <w:t xml:space="preserve">Išanalizavus mokslinės veiklos rezultatus teikti siūlymą universiteto vadovybei skirti daugiau kintamosios darbo užmokesčio dalies balų už ISI WOS publikaciją. Skatinti dėstytojų mokslinę veiklą: </w:t>
            </w:r>
          </w:p>
        </w:tc>
        <w:tc>
          <w:tcPr>
            <w:tcW w:w="722" w:type="pct"/>
          </w:tcPr>
          <w:p w14:paraId="1A91D7CC" w14:textId="43C062A2" w:rsidR="0057499C" w:rsidRPr="000F069E" w:rsidRDefault="009533B1" w:rsidP="00E03992">
            <w:pPr>
              <w:jc w:val="center"/>
              <w:rPr>
                <w:rFonts w:cs="Times New Roman"/>
              </w:rPr>
            </w:pPr>
            <w:r>
              <w:rPr>
                <w:rFonts w:cs="Times New Roman"/>
              </w:rPr>
              <w:t>–</w:t>
            </w:r>
          </w:p>
        </w:tc>
        <w:tc>
          <w:tcPr>
            <w:tcW w:w="723" w:type="pct"/>
          </w:tcPr>
          <w:p w14:paraId="6810796C" w14:textId="17B1B9AF" w:rsidR="0057499C" w:rsidRPr="000F069E" w:rsidRDefault="009533B1" w:rsidP="00E03992">
            <w:pPr>
              <w:jc w:val="center"/>
              <w:rPr>
                <w:rFonts w:cs="Times New Roman"/>
              </w:rPr>
            </w:pPr>
            <w:r>
              <w:rPr>
                <w:rFonts w:cs="Times New Roman"/>
              </w:rPr>
              <w:t>Universiteto administracija</w:t>
            </w:r>
          </w:p>
        </w:tc>
        <w:tc>
          <w:tcPr>
            <w:tcW w:w="711" w:type="pct"/>
          </w:tcPr>
          <w:p w14:paraId="16466EC2" w14:textId="77777777" w:rsidR="0057499C" w:rsidRPr="000F069E" w:rsidRDefault="0057499C" w:rsidP="00E03992">
            <w:pPr>
              <w:jc w:val="center"/>
              <w:rPr>
                <w:rFonts w:cs="Times New Roman"/>
              </w:rPr>
            </w:pPr>
          </w:p>
        </w:tc>
      </w:tr>
      <w:tr w:rsidR="0057499C" w:rsidRPr="000F069E" w14:paraId="3DADDDA6" w14:textId="77777777" w:rsidTr="00A90D71">
        <w:trPr>
          <w:cantSplit/>
        </w:trPr>
        <w:tc>
          <w:tcPr>
            <w:tcW w:w="494" w:type="pct"/>
            <w:vMerge/>
          </w:tcPr>
          <w:p w14:paraId="45EFA980" w14:textId="77777777" w:rsidR="0057499C" w:rsidRDefault="0057499C" w:rsidP="007774FA">
            <w:pPr>
              <w:rPr>
                <w:rFonts w:cs="Times New Roman"/>
              </w:rPr>
            </w:pPr>
          </w:p>
        </w:tc>
        <w:tc>
          <w:tcPr>
            <w:tcW w:w="1175" w:type="pct"/>
          </w:tcPr>
          <w:p w14:paraId="16467C7A" w14:textId="2CEDA59C" w:rsidR="0057499C" w:rsidRDefault="0057499C" w:rsidP="009533B1">
            <w:r w:rsidRPr="0057499C">
              <w:t xml:space="preserve">Įvertinkite kiekvieno mokytojo kursinę medžiagą ir įsitikinkite, kad </w:t>
            </w:r>
            <w:r w:rsidR="009533B1">
              <w:t>užsiėmimuose</w:t>
            </w:r>
            <w:r w:rsidRPr="0057499C">
              <w:t xml:space="preserve"> dėstomos naujausios žinios.</w:t>
            </w:r>
          </w:p>
        </w:tc>
        <w:tc>
          <w:tcPr>
            <w:tcW w:w="1175" w:type="pct"/>
          </w:tcPr>
          <w:p w14:paraId="6F874CF3" w14:textId="77777777" w:rsidR="0057499C" w:rsidRDefault="003005EA" w:rsidP="007070B1">
            <w:pPr>
              <w:rPr>
                <w:rFonts w:cs="Times New Roman"/>
              </w:rPr>
            </w:pPr>
            <w:r>
              <w:rPr>
                <w:rFonts w:cs="Times New Roman"/>
              </w:rPr>
              <w:t>Atliekant studentų apklausą įtraukti klausimą dėl dėstytojo pateikiamos informacijos aktualumą ir naujumą.</w:t>
            </w:r>
          </w:p>
          <w:p w14:paraId="29221A28" w14:textId="4CBDF54E" w:rsidR="003005EA" w:rsidRPr="000F069E" w:rsidRDefault="003005EA" w:rsidP="007070B1">
            <w:pPr>
              <w:rPr>
                <w:rFonts w:cs="Times New Roman"/>
              </w:rPr>
            </w:pPr>
            <w:r>
              <w:rPr>
                <w:rFonts w:cs="Times New Roman"/>
              </w:rPr>
              <w:t xml:space="preserve">Vykdant dėstytojo užsiėmimų </w:t>
            </w:r>
            <w:r w:rsidR="007D296F">
              <w:rPr>
                <w:rFonts w:cs="Times New Roman"/>
              </w:rPr>
              <w:t>stebėseną</w:t>
            </w:r>
            <w:r>
              <w:rPr>
                <w:rFonts w:cs="Times New Roman"/>
              </w:rPr>
              <w:t xml:space="preserve"> sudaryti sąlygas peržiūrėti Nuotolinio mokymosi platformoje (</w:t>
            </w:r>
            <w:proofErr w:type="spellStart"/>
            <w:r>
              <w:rPr>
                <w:rFonts w:cs="Times New Roman"/>
              </w:rPr>
              <w:t>Moodle</w:t>
            </w:r>
            <w:proofErr w:type="spellEnd"/>
            <w:r>
              <w:rPr>
                <w:rFonts w:cs="Times New Roman"/>
              </w:rPr>
              <w:t>) dėstytojo pateiktą informaciją. Po patikrinimo informuoti dėstytoją apie pateikiamos informacijos aktualumo ir naujumo atnaujinimo poreikį.</w:t>
            </w:r>
          </w:p>
        </w:tc>
        <w:tc>
          <w:tcPr>
            <w:tcW w:w="722" w:type="pct"/>
          </w:tcPr>
          <w:p w14:paraId="1C522F19" w14:textId="01F9393B" w:rsidR="0057499C" w:rsidRPr="000F069E" w:rsidRDefault="00A90D71" w:rsidP="00E03992">
            <w:pPr>
              <w:jc w:val="center"/>
              <w:rPr>
                <w:rFonts w:cs="Times New Roman"/>
              </w:rPr>
            </w:pPr>
            <w:r>
              <w:rPr>
                <w:rFonts w:cs="Times New Roman"/>
              </w:rPr>
              <w:t>Nuo 2022-09-01 iki 2024-08-30</w:t>
            </w:r>
          </w:p>
        </w:tc>
        <w:tc>
          <w:tcPr>
            <w:tcW w:w="723" w:type="pct"/>
          </w:tcPr>
          <w:p w14:paraId="17E59F43" w14:textId="7DF2B88C" w:rsidR="0057499C" w:rsidRPr="000F069E" w:rsidRDefault="003005EA" w:rsidP="00E03992">
            <w:pPr>
              <w:jc w:val="center"/>
              <w:rPr>
                <w:rFonts w:cs="Times New Roman"/>
              </w:rPr>
            </w:pPr>
            <w:r>
              <w:rPr>
                <w:rFonts w:cs="Times New Roman"/>
              </w:rPr>
              <w:t>Statybos fakulteto katedros, Aplinkos inžinerijos fakulteto Kelių katedra ir studijų programų komitetai</w:t>
            </w:r>
          </w:p>
        </w:tc>
        <w:tc>
          <w:tcPr>
            <w:tcW w:w="711" w:type="pct"/>
          </w:tcPr>
          <w:p w14:paraId="5F1B8443" w14:textId="77777777" w:rsidR="0057499C" w:rsidRPr="000F069E" w:rsidRDefault="0057499C" w:rsidP="00E03992">
            <w:pPr>
              <w:jc w:val="center"/>
              <w:rPr>
                <w:rFonts w:cs="Times New Roman"/>
              </w:rPr>
            </w:pPr>
          </w:p>
        </w:tc>
      </w:tr>
      <w:tr w:rsidR="003005EA" w:rsidRPr="000F069E" w14:paraId="67B6E76B" w14:textId="77777777" w:rsidTr="00A90D71">
        <w:trPr>
          <w:cantSplit/>
        </w:trPr>
        <w:tc>
          <w:tcPr>
            <w:tcW w:w="494" w:type="pct"/>
          </w:tcPr>
          <w:p w14:paraId="4F3162CC" w14:textId="22622CB5" w:rsidR="003005EA" w:rsidRPr="000F069E" w:rsidRDefault="00563B22" w:rsidP="003005EA">
            <w:pPr>
              <w:rPr>
                <w:rFonts w:cs="Times New Roman"/>
              </w:rPr>
            </w:pPr>
            <w:r>
              <w:lastRenderedPageBreak/>
              <w:t>Studijų materialieji ištekliai</w:t>
            </w:r>
          </w:p>
        </w:tc>
        <w:tc>
          <w:tcPr>
            <w:tcW w:w="1175" w:type="pct"/>
          </w:tcPr>
          <w:p w14:paraId="34A81802" w14:textId="6CC1F886" w:rsidR="003005EA" w:rsidRPr="000F069E" w:rsidRDefault="003005EA" w:rsidP="003005EA">
            <w:pPr>
              <w:rPr>
                <w:rFonts w:cs="Times New Roman"/>
              </w:rPr>
            </w:pPr>
            <w:r w:rsidRPr="0057499C">
              <w:t>Toliau tobulinti laboratorijas ir mokymosi patalpas.</w:t>
            </w:r>
          </w:p>
        </w:tc>
        <w:tc>
          <w:tcPr>
            <w:tcW w:w="1175" w:type="pct"/>
          </w:tcPr>
          <w:p w14:paraId="091A1DF2" w14:textId="77777777" w:rsidR="003005EA" w:rsidRDefault="003005EA" w:rsidP="003005EA">
            <w:pPr>
              <w:rPr>
                <w:rFonts w:cs="Times New Roman"/>
              </w:rPr>
            </w:pPr>
            <w:r>
              <w:rPr>
                <w:rFonts w:cs="Times New Roman"/>
              </w:rPr>
              <w:t>Apklausti dėstytojus, kurie veda praktinius užsiėmimus laboratorijoje ir (arba) kompiuterinėje klasėje apie įrangos atnaujinimo poreikį. Apie šį poreikį informuoti atsakingos katedros vedėją, kuris parengtų įrangos atnaujinimo planą ir jį pristatytų fakulteto ad</w:t>
            </w:r>
            <w:r w:rsidR="00B57384">
              <w:rPr>
                <w:rFonts w:cs="Times New Roman"/>
              </w:rPr>
              <w:t>m</w:t>
            </w:r>
            <w:r>
              <w:rPr>
                <w:rFonts w:cs="Times New Roman"/>
              </w:rPr>
              <w:t>inistracijai.</w:t>
            </w:r>
          </w:p>
          <w:p w14:paraId="2FADCDC8" w14:textId="06088830" w:rsidR="00B57384" w:rsidRPr="000F069E" w:rsidRDefault="00F619D6" w:rsidP="003005EA">
            <w:pPr>
              <w:rPr>
                <w:rFonts w:cs="Times New Roman"/>
              </w:rPr>
            </w:pPr>
            <w:r w:rsidRPr="00A25EE5">
              <w:rPr>
                <w:rFonts w:cs="Times New Roman"/>
              </w:rPr>
              <w:t>Atnaujinti ir papildyti studijų procesui naudojamą laboratorinę įrangą.</w:t>
            </w:r>
          </w:p>
        </w:tc>
        <w:tc>
          <w:tcPr>
            <w:tcW w:w="722" w:type="pct"/>
          </w:tcPr>
          <w:p w14:paraId="39BC4F51" w14:textId="3E5DC8EF" w:rsidR="003005EA" w:rsidRPr="000F069E" w:rsidRDefault="003005EA" w:rsidP="003005EA">
            <w:pPr>
              <w:jc w:val="center"/>
              <w:rPr>
                <w:rFonts w:cs="Times New Roman"/>
              </w:rPr>
            </w:pPr>
            <w:r>
              <w:rPr>
                <w:rFonts w:cs="Times New Roman"/>
              </w:rPr>
              <w:t>Nuo 2022-09-01 iki 2024-08-30</w:t>
            </w:r>
          </w:p>
        </w:tc>
        <w:tc>
          <w:tcPr>
            <w:tcW w:w="723" w:type="pct"/>
          </w:tcPr>
          <w:p w14:paraId="083BB237" w14:textId="3BC31F86" w:rsidR="003005EA" w:rsidRPr="000F069E" w:rsidRDefault="003005EA" w:rsidP="003005EA">
            <w:pPr>
              <w:jc w:val="center"/>
              <w:rPr>
                <w:rFonts w:cs="Times New Roman"/>
              </w:rPr>
            </w:pPr>
            <w:r>
              <w:rPr>
                <w:rFonts w:cs="Times New Roman"/>
              </w:rPr>
              <w:t>Statybos fakulteto katedros, Aplinkos inžinerijos fakulteto Kelių katedra ir studijų programų komitetai</w:t>
            </w:r>
          </w:p>
        </w:tc>
        <w:tc>
          <w:tcPr>
            <w:tcW w:w="711" w:type="pct"/>
          </w:tcPr>
          <w:p w14:paraId="7530AF02" w14:textId="77777777" w:rsidR="003005EA" w:rsidRPr="000F069E" w:rsidRDefault="003005EA" w:rsidP="003005EA">
            <w:pPr>
              <w:jc w:val="center"/>
              <w:rPr>
                <w:rFonts w:cs="Times New Roman"/>
              </w:rPr>
            </w:pPr>
          </w:p>
        </w:tc>
      </w:tr>
      <w:tr w:rsidR="003005EA" w:rsidRPr="000F069E" w14:paraId="3A80F922" w14:textId="77777777" w:rsidTr="00A90D71">
        <w:trPr>
          <w:cantSplit/>
        </w:trPr>
        <w:tc>
          <w:tcPr>
            <w:tcW w:w="494" w:type="pct"/>
          </w:tcPr>
          <w:p w14:paraId="6ED8F246" w14:textId="504B707C" w:rsidR="003005EA" w:rsidRPr="000F069E" w:rsidRDefault="00563B22" w:rsidP="003005EA">
            <w:pPr>
              <w:rPr>
                <w:rFonts w:cs="Times New Roman"/>
              </w:rPr>
            </w:pPr>
            <w:r>
              <w:t>Studijų kokybės valdymas ir viešinimas</w:t>
            </w:r>
          </w:p>
        </w:tc>
        <w:tc>
          <w:tcPr>
            <w:tcW w:w="1175" w:type="pct"/>
          </w:tcPr>
          <w:p w14:paraId="13D351AE" w14:textId="71A9BFA5" w:rsidR="003005EA" w:rsidRPr="0014512D" w:rsidRDefault="003005EA" w:rsidP="003005EA">
            <w:pPr>
              <w:rPr>
                <w:rFonts w:cs="Times New Roman"/>
              </w:rPr>
            </w:pPr>
            <w:r w:rsidRPr="0014512D">
              <w:t>Toliau įtraukite kokybės užtikrinimo (KU) skyrių ir leiskite KU padaliniui analizuoti programos lygiu įrašytą informaciją. Tai suteiks trečiajai šaliai prieigą prie su programa susijusių duomenų. Be to, studentai turėtų turėti galimybę tiesiogiai pateikti savo skundus KU skyriui.</w:t>
            </w:r>
          </w:p>
        </w:tc>
        <w:tc>
          <w:tcPr>
            <w:tcW w:w="1175" w:type="pct"/>
          </w:tcPr>
          <w:p w14:paraId="2003C52E" w14:textId="6C4D2FB9" w:rsidR="00104CC8" w:rsidRPr="0014512D" w:rsidRDefault="00104CC8" w:rsidP="003005EA">
            <w:pPr>
              <w:rPr>
                <w:rFonts w:cs="Times New Roman"/>
              </w:rPr>
            </w:pPr>
            <w:r w:rsidRPr="0014512D">
              <w:rPr>
                <w:rFonts w:cs="Times New Roman"/>
              </w:rPr>
              <w:t>Užtikrinti S</w:t>
            </w:r>
            <w:r w:rsidR="009C1324" w:rsidRPr="0014512D">
              <w:rPr>
                <w:rFonts w:cs="Times New Roman"/>
              </w:rPr>
              <w:t>tudijų programų komitetų</w:t>
            </w:r>
            <w:r w:rsidRPr="0014512D">
              <w:rPr>
                <w:rFonts w:cs="Times New Roman"/>
              </w:rPr>
              <w:t xml:space="preserve"> ir F</w:t>
            </w:r>
            <w:r w:rsidR="009C1324" w:rsidRPr="0014512D">
              <w:rPr>
                <w:rFonts w:cs="Times New Roman"/>
              </w:rPr>
              <w:t>akultetų studijų programų komitetų</w:t>
            </w:r>
            <w:r w:rsidRPr="0014512D">
              <w:rPr>
                <w:rFonts w:cs="Times New Roman"/>
              </w:rPr>
              <w:t xml:space="preserve"> ataskaitų viešą skelbimą, fakultetas turi reguliariai stebėti atliekamus programų pakeitimus.</w:t>
            </w:r>
          </w:p>
          <w:p w14:paraId="682CB554" w14:textId="6AE036F7" w:rsidR="009C1324" w:rsidRPr="0014512D" w:rsidRDefault="009C1324" w:rsidP="003005EA">
            <w:pPr>
              <w:rPr>
                <w:rFonts w:cs="Times New Roman"/>
              </w:rPr>
            </w:pPr>
            <w:r w:rsidRPr="0014512D">
              <w:rPr>
                <w:rFonts w:cs="Times New Roman"/>
              </w:rPr>
              <w:t>Apibendrinti duomenys apie FSK ir SPK veikla kasmet analizuojami Universiteto studijų komitete, kurie atlieka „trečiosios“ šalies vaidmenį.</w:t>
            </w:r>
          </w:p>
          <w:p w14:paraId="720F5842" w14:textId="77777777" w:rsidR="00104CC8" w:rsidRPr="0014512D" w:rsidRDefault="00104CC8" w:rsidP="003005EA">
            <w:pPr>
              <w:rPr>
                <w:rFonts w:cs="Times New Roman"/>
              </w:rPr>
            </w:pPr>
            <w:r w:rsidRPr="0014512D">
              <w:rPr>
                <w:rFonts w:cs="Times New Roman"/>
              </w:rPr>
              <w:t>Power BI pagalba bus pateikiama studijų programų ir studentų pasiekimų sus</w:t>
            </w:r>
            <w:r w:rsidR="009C1324" w:rsidRPr="0014512D">
              <w:rPr>
                <w:rFonts w:cs="Times New Roman"/>
              </w:rPr>
              <w:t>is</w:t>
            </w:r>
            <w:r w:rsidRPr="0014512D">
              <w:rPr>
                <w:rFonts w:cs="Times New Roman"/>
              </w:rPr>
              <w:t>teminta analizė, kurią turi analizuoti SPK, FSK ir dekanatas.</w:t>
            </w:r>
          </w:p>
          <w:p w14:paraId="2CF14991" w14:textId="24005C85" w:rsidR="009C1324" w:rsidRPr="0014512D" w:rsidRDefault="009C1324" w:rsidP="003005EA">
            <w:pPr>
              <w:rPr>
                <w:rFonts w:cs="Times New Roman"/>
              </w:rPr>
            </w:pPr>
            <w:r w:rsidRPr="0014512D">
              <w:rPr>
                <w:rFonts w:cs="Times New Roman"/>
              </w:rPr>
              <w:t>Strateginio planavimo, kokybės vadybos ir analizės centro darbuotojai neturi dalykinių kompetencijų, kad galėtų vertinti studijų programų turinį.</w:t>
            </w:r>
          </w:p>
        </w:tc>
        <w:tc>
          <w:tcPr>
            <w:tcW w:w="722" w:type="pct"/>
          </w:tcPr>
          <w:p w14:paraId="3FA012D9" w14:textId="262717C9" w:rsidR="003005EA" w:rsidRPr="000F069E" w:rsidRDefault="00AF4BAA" w:rsidP="003005EA">
            <w:pPr>
              <w:jc w:val="center"/>
              <w:rPr>
                <w:rFonts w:cs="Times New Roman"/>
              </w:rPr>
            </w:pPr>
            <w:r>
              <w:rPr>
                <w:rFonts w:cs="Times New Roman"/>
              </w:rPr>
              <w:t>Nuo 2022-09-01 iki 2023-04-30</w:t>
            </w:r>
          </w:p>
        </w:tc>
        <w:tc>
          <w:tcPr>
            <w:tcW w:w="723" w:type="pct"/>
          </w:tcPr>
          <w:p w14:paraId="7AFFDA22" w14:textId="35C0C2F6" w:rsidR="003005EA" w:rsidRPr="000F069E" w:rsidRDefault="003005EA" w:rsidP="003005EA">
            <w:pPr>
              <w:jc w:val="center"/>
              <w:rPr>
                <w:rFonts w:cs="Times New Roman"/>
              </w:rPr>
            </w:pPr>
            <w:r>
              <w:rPr>
                <w:rFonts w:cs="Times New Roman"/>
              </w:rPr>
              <w:t>Universiteto administracija</w:t>
            </w:r>
          </w:p>
        </w:tc>
        <w:tc>
          <w:tcPr>
            <w:tcW w:w="711" w:type="pct"/>
          </w:tcPr>
          <w:p w14:paraId="4460393F" w14:textId="77777777" w:rsidR="003005EA" w:rsidRPr="000F069E" w:rsidRDefault="003005EA" w:rsidP="003005EA">
            <w:pPr>
              <w:jc w:val="center"/>
              <w:rPr>
                <w:rFonts w:cs="Times New Roman"/>
              </w:rPr>
            </w:pPr>
          </w:p>
        </w:tc>
      </w:tr>
    </w:tbl>
    <w:p w14:paraId="73BE2F17" w14:textId="77777777" w:rsidR="00886134" w:rsidRPr="00912688" w:rsidRDefault="00886134">
      <w:pPr>
        <w:rPr>
          <w:color w:val="000000" w:themeColor="text1"/>
        </w:rPr>
      </w:pPr>
    </w:p>
    <w:sectPr w:rsidR="00886134" w:rsidRPr="00912688" w:rsidSect="007774FA">
      <w:footerReference w:type="default" r:id="rId8"/>
      <w:pgSz w:w="16838" w:h="11906" w:orient="landscape" w:code="9"/>
      <w:pgMar w:top="1134" w:right="567" w:bottom="567" w:left="56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3EBA2" w14:textId="77777777" w:rsidR="00DF1E36" w:rsidRDefault="00DF1E36" w:rsidP="003E627D">
      <w:pPr>
        <w:spacing w:after="0" w:line="240" w:lineRule="auto"/>
      </w:pPr>
      <w:r>
        <w:separator/>
      </w:r>
    </w:p>
  </w:endnote>
  <w:endnote w:type="continuationSeparator" w:id="0">
    <w:p w14:paraId="1109ABCA" w14:textId="77777777" w:rsidR="00DF1E36" w:rsidRDefault="00DF1E36" w:rsidP="003E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413851"/>
      <w:docPartObj>
        <w:docPartGallery w:val="Page Numbers (Bottom of Page)"/>
        <w:docPartUnique/>
      </w:docPartObj>
    </w:sdtPr>
    <w:sdtEndPr>
      <w:rPr>
        <w:noProof/>
      </w:rPr>
    </w:sdtEndPr>
    <w:sdtContent>
      <w:p w14:paraId="372CBBC4" w14:textId="0BFFD818" w:rsidR="007774FA" w:rsidRDefault="007774FA" w:rsidP="007774FA">
        <w:pPr>
          <w:pStyle w:val="Footer"/>
          <w:jc w:val="center"/>
        </w:pPr>
        <w:r>
          <w:fldChar w:fldCharType="begin"/>
        </w:r>
        <w:r>
          <w:instrText xml:space="preserve"> PAGE   \* MERGEFORMAT </w:instrText>
        </w:r>
        <w:r>
          <w:fldChar w:fldCharType="separate"/>
        </w:r>
        <w:r w:rsidR="009C1324">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626D4" w14:textId="77777777" w:rsidR="00DF1E36" w:rsidRDefault="00DF1E36" w:rsidP="003E627D">
      <w:pPr>
        <w:spacing w:after="0" w:line="240" w:lineRule="auto"/>
      </w:pPr>
      <w:r>
        <w:separator/>
      </w:r>
    </w:p>
  </w:footnote>
  <w:footnote w:type="continuationSeparator" w:id="0">
    <w:p w14:paraId="485C7CC8" w14:textId="77777777" w:rsidR="00DF1E36" w:rsidRDefault="00DF1E36" w:rsidP="003E6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36E"/>
    <w:multiLevelType w:val="hybridMultilevel"/>
    <w:tmpl w:val="106EC49A"/>
    <w:lvl w:ilvl="0" w:tplc="AD0E750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24C4C85"/>
    <w:multiLevelType w:val="multilevel"/>
    <w:tmpl w:val="F3545F56"/>
    <w:lvl w:ilvl="0">
      <w:start w:val="1"/>
      <w:numFmt w:val="decimal"/>
      <w:lvlText w:val="%1."/>
      <w:lvlJc w:val="left"/>
      <w:pPr>
        <w:ind w:left="927" w:hanging="360"/>
      </w:pPr>
    </w:lvl>
    <w:lvl w:ilvl="1">
      <w:start w:val="1"/>
      <w:numFmt w:val="decimal"/>
      <w:lvlText w:val="%1.%2."/>
      <w:lvlJc w:val="left"/>
      <w:pPr>
        <w:ind w:left="1080" w:hanging="360"/>
      </w:pPr>
    </w:lvl>
    <w:lvl w:ilvl="2">
      <w:start w:val="1"/>
      <w:numFmt w:val="decimal"/>
      <w:lvlText w:val="%1.%2.%3."/>
      <w:lvlJc w:val="left"/>
      <w:pPr>
        <w:ind w:left="1593" w:hanging="719"/>
      </w:pPr>
    </w:lvl>
    <w:lvl w:ilvl="3">
      <w:start w:val="1"/>
      <w:numFmt w:val="decimal"/>
      <w:lvlText w:val="%1.%2.%3.%4."/>
      <w:lvlJc w:val="left"/>
      <w:pPr>
        <w:ind w:left="1746" w:hanging="720"/>
      </w:pPr>
    </w:lvl>
    <w:lvl w:ilvl="4">
      <w:start w:val="1"/>
      <w:numFmt w:val="decimal"/>
      <w:lvlText w:val="%1.%2.%3.%4.%5."/>
      <w:lvlJc w:val="left"/>
      <w:pPr>
        <w:ind w:left="2259" w:hanging="1080"/>
      </w:pPr>
    </w:lvl>
    <w:lvl w:ilvl="5">
      <w:start w:val="1"/>
      <w:numFmt w:val="decimal"/>
      <w:lvlText w:val="%1.%2.%3.%4.%5.%6."/>
      <w:lvlJc w:val="left"/>
      <w:pPr>
        <w:ind w:left="2412" w:hanging="1080"/>
      </w:pPr>
    </w:lvl>
    <w:lvl w:ilvl="6">
      <w:start w:val="1"/>
      <w:numFmt w:val="decimal"/>
      <w:lvlText w:val="%1.%2.%3.%4.%5.%6.%7."/>
      <w:lvlJc w:val="left"/>
      <w:pPr>
        <w:ind w:left="2925" w:hanging="1440"/>
      </w:pPr>
    </w:lvl>
    <w:lvl w:ilvl="7">
      <w:start w:val="1"/>
      <w:numFmt w:val="decimal"/>
      <w:lvlText w:val="%1.%2.%3.%4.%5.%6.%7.%8."/>
      <w:lvlJc w:val="left"/>
      <w:pPr>
        <w:ind w:left="3078" w:hanging="1440"/>
      </w:pPr>
    </w:lvl>
    <w:lvl w:ilvl="8">
      <w:start w:val="1"/>
      <w:numFmt w:val="decimal"/>
      <w:lvlText w:val="%1.%2.%3.%4.%5.%6.%7.%8.%9."/>
      <w:lvlJc w:val="left"/>
      <w:pPr>
        <w:ind w:left="3591" w:hanging="1799"/>
      </w:pPr>
    </w:lvl>
  </w:abstractNum>
  <w:abstractNum w:abstractNumId="2" w15:restartNumberingAfterBreak="0">
    <w:nsid w:val="0E1D2E2D"/>
    <w:multiLevelType w:val="hybridMultilevel"/>
    <w:tmpl w:val="EBD878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4F065A7"/>
    <w:multiLevelType w:val="multilevel"/>
    <w:tmpl w:val="FDB82CA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617CAC"/>
    <w:multiLevelType w:val="hybridMultilevel"/>
    <w:tmpl w:val="55C26A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98178CF"/>
    <w:multiLevelType w:val="hybridMultilevel"/>
    <w:tmpl w:val="FB62A9B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 w15:restartNumberingAfterBreak="0">
    <w:nsid w:val="2BC27F80"/>
    <w:multiLevelType w:val="hybridMultilevel"/>
    <w:tmpl w:val="3A4861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E4843CA"/>
    <w:multiLevelType w:val="hybridMultilevel"/>
    <w:tmpl w:val="C69A8170"/>
    <w:lvl w:ilvl="0" w:tplc="7C900380">
      <w:start w:val="1"/>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77A77FB"/>
    <w:multiLevelType w:val="hybridMultilevel"/>
    <w:tmpl w:val="109C7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CE6593"/>
    <w:multiLevelType w:val="multilevel"/>
    <w:tmpl w:val="F3545F56"/>
    <w:lvl w:ilvl="0">
      <w:start w:val="1"/>
      <w:numFmt w:val="decimal"/>
      <w:lvlText w:val="%1."/>
      <w:lvlJc w:val="left"/>
      <w:pPr>
        <w:ind w:left="927" w:hanging="360"/>
      </w:pPr>
    </w:lvl>
    <w:lvl w:ilvl="1">
      <w:start w:val="1"/>
      <w:numFmt w:val="decimal"/>
      <w:lvlText w:val="%1.%2."/>
      <w:lvlJc w:val="left"/>
      <w:pPr>
        <w:ind w:left="1080" w:hanging="360"/>
      </w:pPr>
    </w:lvl>
    <w:lvl w:ilvl="2">
      <w:start w:val="1"/>
      <w:numFmt w:val="decimal"/>
      <w:lvlText w:val="%1.%2.%3."/>
      <w:lvlJc w:val="left"/>
      <w:pPr>
        <w:ind w:left="1593" w:hanging="719"/>
      </w:pPr>
    </w:lvl>
    <w:lvl w:ilvl="3">
      <w:start w:val="1"/>
      <w:numFmt w:val="decimal"/>
      <w:lvlText w:val="%1.%2.%3.%4."/>
      <w:lvlJc w:val="left"/>
      <w:pPr>
        <w:ind w:left="1746" w:hanging="720"/>
      </w:pPr>
    </w:lvl>
    <w:lvl w:ilvl="4">
      <w:start w:val="1"/>
      <w:numFmt w:val="decimal"/>
      <w:lvlText w:val="%1.%2.%3.%4.%5."/>
      <w:lvlJc w:val="left"/>
      <w:pPr>
        <w:ind w:left="2259" w:hanging="1080"/>
      </w:pPr>
    </w:lvl>
    <w:lvl w:ilvl="5">
      <w:start w:val="1"/>
      <w:numFmt w:val="decimal"/>
      <w:lvlText w:val="%1.%2.%3.%4.%5.%6."/>
      <w:lvlJc w:val="left"/>
      <w:pPr>
        <w:ind w:left="2412" w:hanging="1080"/>
      </w:pPr>
    </w:lvl>
    <w:lvl w:ilvl="6">
      <w:start w:val="1"/>
      <w:numFmt w:val="decimal"/>
      <w:lvlText w:val="%1.%2.%3.%4.%5.%6.%7."/>
      <w:lvlJc w:val="left"/>
      <w:pPr>
        <w:ind w:left="2925" w:hanging="1440"/>
      </w:pPr>
    </w:lvl>
    <w:lvl w:ilvl="7">
      <w:start w:val="1"/>
      <w:numFmt w:val="decimal"/>
      <w:lvlText w:val="%1.%2.%3.%4.%5.%6.%7.%8."/>
      <w:lvlJc w:val="left"/>
      <w:pPr>
        <w:ind w:left="3078" w:hanging="1440"/>
      </w:pPr>
    </w:lvl>
    <w:lvl w:ilvl="8">
      <w:start w:val="1"/>
      <w:numFmt w:val="decimal"/>
      <w:lvlText w:val="%1.%2.%3.%4.%5.%6.%7.%8.%9."/>
      <w:lvlJc w:val="left"/>
      <w:pPr>
        <w:ind w:left="3591" w:hanging="1799"/>
      </w:pPr>
    </w:lvl>
  </w:abstractNum>
  <w:abstractNum w:abstractNumId="10" w15:restartNumberingAfterBreak="0">
    <w:nsid w:val="420628A5"/>
    <w:multiLevelType w:val="hybridMultilevel"/>
    <w:tmpl w:val="E060686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1" w15:restartNumberingAfterBreak="0">
    <w:nsid w:val="434B69B7"/>
    <w:multiLevelType w:val="multilevel"/>
    <w:tmpl w:val="FDB82CA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AE458D"/>
    <w:multiLevelType w:val="multilevel"/>
    <w:tmpl w:val="F79E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CF3B09"/>
    <w:multiLevelType w:val="hybridMultilevel"/>
    <w:tmpl w:val="18B07D7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15:restartNumberingAfterBreak="0">
    <w:nsid w:val="57E960A0"/>
    <w:multiLevelType w:val="hybridMultilevel"/>
    <w:tmpl w:val="83CE16BA"/>
    <w:lvl w:ilvl="0" w:tplc="8592C290">
      <w:start w:val="1"/>
      <w:numFmt w:val="decimal"/>
      <w:lvlText w:val="%1."/>
      <w:lvlJc w:val="left"/>
      <w:pPr>
        <w:ind w:left="720" w:hanging="360"/>
      </w:pPr>
      <w:rPr>
        <w:rFonts w:ascii="Times New Roman" w:hAnsi="Times New Roman"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A8A7CF7"/>
    <w:multiLevelType w:val="hybridMultilevel"/>
    <w:tmpl w:val="EBD878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0"/>
  </w:num>
  <w:num w:numId="5">
    <w:abstractNumId w:val="9"/>
  </w:num>
  <w:num w:numId="6">
    <w:abstractNumId w:val="1"/>
  </w:num>
  <w:num w:numId="7">
    <w:abstractNumId w:val="11"/>
  </w:num>
  <w:num w:numId="8">
    <w:abstractNumId w:val="7"/>
  </w:num>
  <w:num w:numId="9">
    <w:abstractNumId w:val="15"/>
  </w:num>
  <w:num w:numId="10">
    <w:abstractNumId w:val="13"/>
  </w:num>
  <w:num w:numId="11">
    <w:abstractNumId w:val="2"/>
  </w:num>
  <w:num w:numId="12">
    <w:abstractNumId w:val="12"/>
  </w:num>
  <w:num w:numId="13">
    <w:abstractNumId w:val="10"/>
  </w:num>
  <w:num w:numId="14">
    <w:abstractNumId w:val="5"/>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B89"/>
    <w:rsid w:val="0000497A"/>
    <w:rsid w:val="00014B07"/>
    <w:rsid w:val="0005760D"/>
    <w:rsid w:val="0006484B"/>
    <w:rsid w:val="0006680B"/>
    <w:rsid w:val="00074EE0"/>
    <w:rsid w:val="00090B2D"/>
    <w:rsid w:val="000926E4"/>
    <w:rsid w:val="000A0B31"/>
    <w:rsid w:val="000A22C0"/>
    <w:rsid w:val="000A4104"/>
    <w:rsid w:val="000A61CD"/>
    <w:rsid w:val="000B41C6"/>
    <w:rsid w:val="000C758B"/>
    <w:rsid w:val="000C7AAE"/>
    <w:rsid w:val="000D33C4"/>
    <w:rsid w:val="000E4A8C"/>
    <w:rsid w:val="000F069E"/>
    <w:rsid w:val="00104CC8"/>
    <w:rsid w:val="00105374"/>
    <w:rsid w:val="001069B1"/>
    <w:rsid w:val="00125C6C"/>
    <w:rsid w:val="00130B1A"/>
    <w:rsid w:val="00133CC2"/>
    <w:rsid w:val="001370BB"/>
    <w:rsid w:val="0014474A"/>
    <w:rsid w:val="0014512D"/>
    <w:rsid w:val="00146D3C"/>
    <w:rsid w:val="00155D47"/>
    <w:rsid w:val="00166EC1"/>
    <w:rsid w:val="00170F38"/>
    <w:rsid w:val="00176183"/>
    <w:rsid w:val="001A1347"/>
    <w:rsid w:val="001B0747"/>
    <w:rsid w:val="001B5945"/>
    <w:rsid w:val="001B62A6"/>
    <w:rsid w:val="001E1F8D"/>
    <w:rsid w:val="001E5F09"/>
    <w:rsid w:val="001E7FAE"/>
    <w:rsid w:val="002078A9"/>
    <w:rsid w:val="00210B09"/>
    <w:rsid w:val="00212DC0"/>
    <w:rsid w:val="002172A2"/>
    <w:rsid w:val="00220732"/>
    <w:rsid w:val="00222F5C"/>
    <w:rsid w:val="00230A38"/>
    <w:rsid w:val="00236558"/>
    <w:rsid w:val="00257B2C"/>
    <w:rsid w:val="00270FC9"/>
    <w:rsid w:val="002737A5"/>
    <w:rsid w:val="00273A30"/>
    <w:rsid w:val="00275646"/>
    <w:rsid w:val="002837B7"/>
    <w:rsid w:val="002875B6"/>
    <w:rsid w:val="002A06B7"/>
    <w:rsid w:val="002B1C8D"/>
    <w:rsid w:val="002B25FA"/>
    <w:rsid w:val="002B76C2"/>
    <w:rsid w:val="002C2D28"/>
    <w:rsid w:val="002C7B9E"/>
    <w:rsid w:val="002D11B1"/>
    <w:rsid w:val="002D5A5D"/>
    <w:rsid w:val="002E3FA0"/>
    <w:rsid w:val="002F4C8A"/>
    <w:rsid w:val="003005EA"/>
    <w:rsid w:val="003029F8"/>
    <w:rsid w:val="00314060"/>
    <w:rsid w:val="00327544"/>
    <w:rsid w:val="00333317"/>
    <w:rsid w:val="003406A2"/>
    <w:rsid w:val="00367B89"/>
    <w:rsid w:val="0037126E"/>
    <w:rsid w:val="00371FF4"/>
    <w:rsid w:val="0038304D"/>
    <w:rsid w:val="00386E89"/>
    <w:rsid w:val="003935A7"/>
    <w:rsid w:val="003A2F81"/>
    <w:rsid w:val="003C2B7B"/>
    <w:rsid w:val="003E627D"/>
    <w:rsid w:val="003F4D50"/>
    <w:rsid w:val="0040435E"/>
    <w:rsid w:val="00405438"/>
    <w:rsid w:val="00430C7F"/>
    <w:rsid w:val="00434C5E"/>
    <w:rsid w:val="004364A6"/>
    <w:rsid w:val="00450E18"/>
    <w:rsid w:val="004565B2"/>
    <w:rsid w:val="00491680"/>
    <w:rsid w:val="00496C58"/>
    <w:rsid w:val="004A4EC4"/>
    <w:rsid w:val="004B0511"/>
    <w:rsid w:val="004B2ACD"/>
    <w:rsid w:val="004B4A6A"/>
    <w:rsid w:val="004C0E82"/>
    <w:rsid w:val="004C1A35"/>
    <w:rsid w:val="004D28E2"/>
    <w:rsid w:val="004E3889"/>
    <w:rsid w:val="004F17AB"/>
    <w:rsid w:val="00500A56"/>
    <w:rsid w:val="00510F3B"/>
    <w:rsid w:val="00530740"/>
    <w:rsid w:val="00531C35"/>
    <w:rsid w:val="005332AC"/>
    <w:rsid w:val="00534790"/>
    <w:rsid w:val="00541E6E"/>
    <w:rsid w:val="00561FEB"/>
    <w:rsid w:val="00563B22"/>
    <w:rsid w:val="00566968"/>
    <w:rsid w:val="0057499C"/>
    <w:rsid w:val="00583123"/>
    <w:rsid w:val="005978EB"/>
    <w:rsid w:val="005A2DDF"/>
    <w:rsid w:val="005B74E8"/>
    <w:rsid w:val="005C6E1B"/>
    <w:rsid w:val="005F737B"/>
    <w:rsid w:val="00600390"/>
    <w:rsid w:val="00602DC0"/>
    <w:rsid w:val="006051A9"/>
    <w:rsid w:val="00621576"/>
    <w:rsid w:val="006331C7"/>
    <w:rsid w:val="0065366A"/>
    <w:rsid w:val="00654A0B"/>
    <w:rsid w:val="0066099C"/>
    <w:rsid w:val="00666147"/>
    <w:rsid w:val="00667E28"/>
    <w:rsid w:val="00676508"/>
    <w:rsid w:val="00686AA6"/>
    <w:rsid w:val="006A1668"/>
    <w:rsid w:val="006B353E"/>
    <w:rsid w:val="006B3B4E"/>
    <w:rsid w:val="006D0569"/>
    <w:rsid w:val="006E0AD9"/>
    <w:rsid w:val="007070B1"/>
    <w:rsid w:val="00713728"/>
    <w:rsid w:val="007152FA"/>
    <w:rsid w:val="00725CCE"/>
    <w:rsid w:val="00766C93"/>
    <w:rsid w:val="0077253C"/>
    <w:rsid w:val="0077606B"/>
    <w:rsid w:val="007774FA"/>
    <w:rsid w:val="00793E21"/>
    <w:rsid w:val="007A7083"/>
    <w:rsid w:val="007B4191"/>
    <w:rsid w:val="007B4500"/>
    <w:rsid w:val="007D296F"/>
    <w:rsid w:val="007E7BF4"/>
    <w:rsid w:val="007F49C1"/>
    <w:rsid w:val="007F4BF4"/>
    <w:rsid w:val="00812CC1"/>
    <w:rsid w:val="0081546F"/>
    <w:rsid w:val="00831561"/>
    <w:rsid w:val="00843BC2"/>
    <w:rsid w:val="00843F6B"/>
    <w:rsid w:val="0086180C"/>
    <w:rsid w:val="0088149D"/>
    <w:rsid w:val="00886134"/>
    <w:rsid w:val="008878E2"/>
    <w:rsid w:val="008A7984"/>
    <w:rsid w:val="008A7B57"/>
    <w:rsid w:val="008C2633"/>
    <w:rsid w:val="008D2237"/>
    <w:rsid w:val="008E7792"/>
    <w:rsid w:val="008F5E1E"/>
    <w:rsid w:val="00912688"/>
    <w:rsid w:val="0091332D"/>
    <w:rsid w:val="00930A62"/>
    <w:rsid w:val="009340CB"/>
    <w:rsid w:val="00940A0D"/>
    <w:rsid w:val="0094719D"/>
    <w:rsid w:val="009533B1"/>
    <w:rsid w:val="009600ED"/>
    <w:rsid w:val="009663DD"/>
    <w:rsid w:val="00976D22"/>
    <w:rsid w:val="00980CFC"/>
    <w:rsid w:val="009830F9"/>
    <w:rsid w:val="00984D2F"/>
    <w:rsid w:val="0099245C"/>
    <w:rsid w:val="009A2A1A"/>
    <w:rsid w:val="009A2D50"/>
    <w:rsid w:val="009C1324"/>
    <w:rsid w:val="009D4F0E"/>
    <w:rsid w:val="009E5238"/>
    <w:rsid w:val="009E54F6"/>
    <w:rsid w:val="009F0CAB"/>
    <w:rsid w:val="00A02DB5"/>
    <w:rsid w:val="00A030CD"/>
    <w:rsid w:val="00A0468C"/>
    <w:rsid w:val="00A25EE5"/>
    <w:rsid w:val="00A27245"/>
    <w:rsid w:val="00A27865"/>
    <w:rsid w:val="00A40CCF"/>
    <w:rsid w:val="00A41750"/>
    <w:rsid w:val="00A52714"/>
    <w:rsid w:val="00A54E9A"/>
    <w:rsid w:val="00A555BA"/>
    <w:rsid w:val="00A90D71"/>
    <w:rsid w:val="00A973D0"/>
    <w:rsid w:val="00AB2629"/>
    <w:rsid w:val="00AC54FC"/>
    <w:rsid w:val="00AD5509"/>
    <w:rsid w:val="00AF1C21"/>
    <w:rsid w:val="00AF4BAA"/>
    <w:rsid w:val="00B20B6C"/>
    <w:rsid w:val="00B23647"/>
    <w:rsid w:val="00B25A93"/>
    <w:rsid w:val="00B51200"/>
    <w:rsid w:val="00B57384"/>
    <w:rsid w:val="00B64CE8"/>
    <w:rsid w:val="00B67C8C"/>
    <w:rsid w:val="00B76318"/>
    <w:rsid w:val="00B95C2F"/>
    <w:rsid w:val="00BA4479"/>
    <w:rsid w:val="00BB1ADF"/>
    <w:rsid w:val="00BC62D1"/>
    <w:rsid w:val="00BE0688"/>
    <w:rsid w:val="00C017F9"/>
    <w:rsid w:val="00C16B71"/>
    <w:rsid w:val="00C55B1C"/>
    <w:rsid w:val="00C62D62"/>
    <w:rsid w:val="00C863C6"/>
    <w:rsid w:val="00CC381C"/>
    <w:rsid w:val="00CC3936"/>
    <w:rsid w:val="00CD6771"/>
    <w:rsid w:val="00CE41B5"/>
    <w:rsid w:val="00CE53C1"/>
    <w:rsid w:val="00CE5E91"/>
    <w:rsid w:val="00CF0513"/>
    <w:rsid w:val="00D00B85"/>
    <w:rsid w:val="00D1291B"/>
    <w:rsid w:val="00D15B64"/>
    <w:rsid w:val="00D23FCA"/>
    <w:rsid w:val="00D24B0C"/>
    <w:rsid w:val="00D339F0"/>
    <w:rsid w:val="00D35272"/>
    <w:rsid w:val="00D37D16"/>
    <w:rsid w:val="00D51B49"/>
    <w:rsid w:val="00D756C7"/>
    <w:rsid w:val="00D94762"/>
    <w:rsid w:val="00DA301C"/>
    <w:rsid w:val="00DB08A3"/>
    <w:rsid w:val="00DC1892"/>
    <w:rsid w:val="00DE0FDD"/>
    <w:rsid w:val="00DF1E36"/>
    <w:rsid w:val="00DF51C9"/>
    <w:rsid w:val="00E03992"/>
    <w:rsid w:val="00E11D1B"/>
    <w:rsid w:val="00E13058"/>
    <w:rsid w:val="00E13DD9"/>
    <w:rsid w:val="00E26759"/>
    <w:rsid w:val="00E26B84"/>
    <w:rsid w:val="00E41A05"/>
    <w:rsid w:val="00E555F0"/>
    <w:rsid w:val="00E76054"/>
    <w:rsid w:val="00E829E9"/>
    <w:rsid w:val="00E908D9"/>
    <w:rsid w:val="00E93489"/>
    <w:rsid w:val="00EA159A"/>
    <w:rsid w:val="00EC02C6"/>
    <w:rsid w:val="00EC3CAA"/>
    <w:rsid w:val="00EC7BCD"/>
    <w:rsid w:val="00ED7117"/>
    <w:rsid w:val="00EF0374"/>
    <w:rsid w:val="00EF5F1A"/>
    <w:rsid w:val="00F00BBD"/>
    <w:rsid w:val="00F25B6E"/>
    <w:rsid w:val="00F37EF0"/>
    <w:rsid w:val="00F548A4"/>
    <w:rsid w:val="00F561C9"/>
    <w:rsid w:val="00F619D6"/>
    <w:rsid w:val="00F729C5"/>
    <w:rsid w:val="00F85937"/>
    <w:rsid w:val="00F875EC"/>
    <w:rsid w:val="00F877E3"/>
    <w:rsid w:val="00FA4DE5"/>
    <w:rsid w:val="00FD1D20"/>
    <w:rsid w:val="00FE04A0"/>
    <w:rsid w:val="00FE5C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36CDD"/>
  <w15:chartTrackingRefBased/>
  <w15:docId w15:val="{A6FDF205-2168-4152-BEF1-5BEB1861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762"/>
    <w:rPr>
      <w:rFonts w:ascii="Times New Roman" w:hAnsi="Times New Roman"/>
      <w:sz w:val="24"/>
    </w:rPr>
  </w:style>
  <w:style w:type="paragraph" w:styleId="Heading1">
    <w:name w:val="heading 1"/>
    <w:basedOn w:val="Normal"/>
    <w:link w:val="Heading1Char"/>
    <w:uiPriority w:val="9"/>
    <w:qFormat/>
    <w:rsid w:val="004C1A35"/>
    <w:pPr>
      <w:spacing w:before="100" w:beforeAutospacing="1" w:after="100" w:afterAutospacing="1" w:line="240" w:lineRule="auto"/>
      <w:outlineLvl w:val="0"/>
    </w:pPr>
    <w:rPr>
      <w:rFonts w:eastAsia="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F09"/>
    <w:pPr>
      <w:ind w:left="720"/>
      <w:contextualSpacing/>
    </w:pPr>
  </w:style>
  <w:style w:type="paragraph" w:customStyle="1" w:styleId="Hyperlink1">
    <w:name w:val="Hyperlink1"/>
    <w:rsid w:val="001E5F09"/>
    <w:pPr>
      <w:spacing w:after="0" w:line="240" w:lineRule="auto"/>
      <w:ind w:firstLine="312"/>
      <w:jc w:val="both"/>
    </w:pPr>
    <w:rPr>
      <w:rFonts w:ascii="TimesLT" w:eastAsia="Times New Roman" w:hAnsi="TimesLT" w:cs="Times New Roman"/>
      <w:sz w:val="20"/>
      <w:szCs w:val="20"/>
      <w:lang w:val="en-GB"/>
    </w:rPr>
  </w:style>
  <w:style w:type="paragraph" w:customStyle="1" w:styleId="Default">
    <w:name w:val="Default"/>
    <w:rsid w:val="001E5F0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E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25FA"/>
    <w:pPr>
      <w:spacing w:before="100" w:beforeAutospacing="1" w:after="100" w:afterAutospacing="1" w:line="240" w:lineRule="auto"/>
    </w:pPr>
    <w:rPr>
      <w:rFonts w:eastAsia="Times New Roman" w:cs="Times New Roman"/>
      <w:szCs w:val="24"/>
      <w:lang w:eastAsia="lt-LT"/>
    </w:rPr>
  </w:style>
  <w:style w:type="paragraph" w:styleId="Header">
    <w:name w:val="header"/>
    <w:aliases w:val="Char"/>
    <w:basedOn w:val="Normal"/>
    <w:link w:val="HeaderChar"/>
    <w:unhideWhenUsed/>
    <w:rsid w:val="003E627D"/>
    <w:pPr>
      <w:tabs>
        <w:tab w:val="center" w:pos="4819"/>
        <w:tab w:val="right" w:pos="9638"/>
      </w:tabs>
      <w:spacing w:after="0" w:line="240" w:lineRule="auto"/>
    </w:pPr>
  </w:style>
  <w:style w:type="character" w:customStyle="1" w:styleId="HeaderChar">
    <w:name w:val="Header Char"/>
    <w:aliases w:val="Char Char"/>
    <w:basedOn w:val="DefaultParagraphFont"/>
    <w:link w:val="Header"/>
    <w:rsid w:val="003E627D"/>
  </w:style>
  <w:style w:type="paragraph" w:styleId="Footer">
    <w:name w:val="footer"/>
    <w:basedOn w:val="Normal"/>
    <w:link w:val="FooterChar"/>
    <w:uiPriority w:val="99"/>
    <w:unhideWhenUsed/>
    <w:rsid w:val="003E627D"/>
    <w:pPr>
      <w:tabs>
        <w:tab w:val="center" w:pos="4819"/>
        <w:tab w:val="right" w:pos="9638"/>
      </w:tabs>
      <w:spacing w:after="0" w:line="240" w:lineRule="auto"/>
    </w:pPr>
  </w:style>
  <w:style w:type="character" w:customStyle="1" w:styleId="FooterChar">
    <w:name w:val="Footer Char"/>
    <w:basedOn w:val="DefaultParagraphFont"/>
    <w:link w:val="Footer"/>
    <w:uiPriority w:val="99"/>
    <w:rsid w:val="003E627D"/>
  </w:style>
  <w:style w:type="character" w:styleId="Hyperlink">
    <w:name w:val="Hyperlink"/>
    <w:basedOn w:val="DefaultParagraphFont"/>
    <w:uiPriority w:val="99"/>
    <w:unhideWhenUsed/>
    <w:rsid w:val="00FA4DE5"/>
    <w:rPr>
      <w:color w:val="0000FF"/>
      <w:u w:val="single"/>
    </w:rPr>
  </w:style>
  <w:style w:type="character" w:styleId="CommentReference">
    <w:name w:val="annotation reference"/>
    <w:basedOn w:val="DefaultParagraphFont"/>
    <w:uiPriority w:val="99"/>
    <w:semiHidden/>
    <w:unhideWhenUsed/>
    <w:rsid w:val="00D94762"/>
    <w:rPr>
      <w:sz w:val="16"/>
      <w:szCs w:val="16"/>
    </w:rPr>
  </w:style>
  <w:style w:type="paragraph" w:styleId="CommentText">
    <w:name w:val="annotation text"/>
    <w:basedOn w:val="Normal"/>
    <w:link w:val="CommentTextChar"/>
    <w:uiPriority w:val="99"/>
    <w:semiHidden/>
    <w:unhideWhenUsed/>
    <w:rsid w:val="00D94762"/>
    <w:pPr>
      <w:spacing w:line="240" w:lineRule="auto"/>
    </w:pPr>
    <w:rPr>
      <w:sz w:val="20"/>
      <w:szCs w:val="20"/>
    </w:rPr>
  </w:style>
  <w:style w:type="character" w:customStyle="1" w:styleId="CommentTextChar">
    <w:name w:val="Comment Text Char"/>
    <w:basedOn w:val="DefaultParagraphFont"/>
    <w:link w:val="CommentText"/>
    <w:uiPriority w:val="99"/>
    <w:semiHidden/>
    <w:rsid w:val="00D9476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94762"/>
    <w:rPr>
      <w:b/>
      <w:bCs/>
    </w:rPr>
  </w:style>
  <w:style w:type="character" w:customStyle="1" w:styleId="CommentSubjectChar">
    <w:name w:val="Comment Subject Char"/>
    <w:basedOn w:val="CommentTextChar"/>
    <w:link w:val="CommentSubject"/>
    <w:uiPriority w:val="99"/>
    <w:semiHidden/>
    <w:rsid w:val="00D94762"/>
    <w:rPr>
      <w:rFonts w:ascii="Times New Roman" w:hAnsi="Times New Roman"/>
      <w:b/>
      <w:bCs/>
      <w:sz w:val="20"/>
      <w:szCs w:val="20"/>
    </w:rPr>
  </w:style>
  <w:style w:type="paragraph" w:styleId="BalloonText">
    <w:name w:val="Balloon Text"/>
    <w:basedOn w:val="Normal"/>
    <w:link w:val="BalloonTextChar"/>
    <w:uiPriority w:val="99"/>
    <w:semiHidden/>
    <w:unhideWhenUsed/>
    <w:rsid w:val="00D94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762"/>
    <w:rPr>
      <w:rFonts w:ascii="Segoe UI" w:hAnsi="Segoe UI" w:cs="Segoe UI"/>
      <w:sz w:val="18"/>
      <w:szCs w:val="18"/>
    </w:rPr>
  </w:style>
  <w:style w:type="character" w:customStyle="1" w:styleId="Heading1Char">
    <w:name w:val="Heading 1 Char"/>
    <w:basedOn w:val="DefaultParagraphFont"/>
    <w:link w:val="Heading1"/>
    <w:uiPriority w:val="9"/>
    <w:rsid w:val="004C1A35"/>
    <w:rPr>
      <w:rFonts w:ascii="Times New Roman" w:eastAsia="Times New Roman" w:hAnsi="Times New Roman" w:cs="Times New Roman"/>
      <w:b/>
      <w:bCs/>
      <w:kern w:val="36"/>
      <w:sz w:val="48"/>
      <w:szCs w:val="48"/>
      <w:lang w:val="en-US"/>
    </w:rPr>
  </w:style>
  <w:style w:type="character" w:customStyle="1" w:styleId="52je">
    <w:name w:val="_52je"/>
    <w:basedOn w:val="DefaultParagraphFont"/>
    <w:rsid w:val="004C1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93683">
      <w:bodyDiv w:val="1"/>
      <w:marLeft w:val="0"/>
      <w:marRight w:val="0"/>
      <w:marTop w:val="0"/>
      <w:marBottom w:val="0"/>
      <w:divBdr>
        <w:top w:val="none" w:sz="0" w:space="0" w:color="auto"/>
        <w:left w:val="none" w:sz="0" w:space="0" w:color="auto"/>
        <w:bottom w:val="none" w:sz="0" w:space="0" w:color="auto"/>
        <w:right w:val="none" w:sz="0" w:space="0" w:color="auto"/>
      </w:divBdr>
    </w:div>
    <w:div w:id="457575410">
      <w:bodyDiv w:val="1"/>
      <w:marLeft w:val="0"/>
      <w:marRight w:val="0"/>
      <w:marTop w:val="0"/>
      <w:marBottom w:val="0"/>
      <w:divBdr>
        <w:top w:val="none" w:sz="0" w:space="0" w:color="auto"/>
        <w:left w:val="none" w:sz="0" w:space="0" w:color="auto"/>
        <w:bottom w:val="none" w:sz="0" w:space="0" w:color="auto"/>
        <w:right w:val="none" w:sz="0" w:space="0" w:color="auto"/>
      </w:divBdr>
    </w:div>
    <w:div w:id="1018124262">
      <w:bodyDiv w:val="1"/>
      <w:marLeft w:val="0"/>
      <w:marRight w:val="0"/>
      <w:marTop w:val="0"/>
      <w:marBottom w:val="0"/>
      <w:divBdr>
        <w:top w:val="none" w:sz="0" w:space="0" w:color="auto"/>
        <w:left w:val="none" w:sz="0" w:space="0" w:color="auto"/>
        <w:bottom w:val="none" w:sz="0" w:space="0" w:color="auto"/>
        <w:right w:val="none" w:sz="0" w:space="0" w:color="auto"/>
      </w:divBdr>
      <w:divsChild>
        <w:div w:id="242960299">
          <w:marLeft w:val="0"/>
          <w:marRight w:val="0"/>
          <w:marTop w:val="0"/>
          <w:marBottom w:val="0"/>
          <w:divBdr>
            <w:top w:val="none" w:sz="0" w:space="0" w:color="auto"/>
            <w:left w:val="none" w:sz="0" w:space="0" w:color="auto"/>
            <w:bottom w:val="none" w:sz="0" w:space="0" w:color="auto"/>
            <w:right w:val="none" w:sz="0" w:space="0" w:color="auto"/>
          </w:divBdr>
        </w:div>
        <w:div w:id="77599010">
          <w:marLeft w:val="0"/>
          <w:marRight w:val="0"/>
          <w:marTop w:val="0"/>
          <w:marBottom w:val="0"/>
          <w:divBdr>
            <w:top w:val="none" w:sz="0" w:space="0" w:color="auto"/>
            <w:left w:val="none" w:sz="0" w:space="0" w:color="auto"/>
            <w:bottom w:val="none" w:sz="0" w:space="0" w:color="auto"/>
            <w:right w:val="none" w:sz="0" w:space="0" w:color="auto"/>
          </w:divBdr>
        </w:div>
        <w:div w:id="1134061207">
          <w:marLeft w:val="0"/>
          <w:marRight w:val="0"/>
          <w:marTop w:val="0"/>
          <w:marBottom w:val="0"/>
          <w:divBdr>
            <w:top w:val="none" w:sz="0" w:space="0" w:color="auto"/>
            <w:left w:val="none" w:sz="0" w:space="0" w:color="auto"/>
            <w:bottom w:val="none" w:sz="0" w:space="0" w:color="auto"/>
            <w:right w:val="none" w:sz="0" w:space="0" w:color="auto"/>
          </w:divBdr>
        </w:div>
        <w:div w:id="1265192131">
          <w:marLeft w:val="0"/>
          <w:marRight w:val="0"/>
          <w:marTop w:val="0"/>
          <w:marBottom w:val="0"/>
          <w:divBdr>
            <w:top w:val="none" w:sz="0" w:space="0" w:color="auto"/>
            <w:left w:val="none" w:sz="0" w:space="0" w:color="auto"/>
            <w:bottom w:val="none" w:sz="0" w:space="0" w:color="auto"/>
            <w:right w:val="none" w:sz="0" w:space="0" w:color="auto"/>
          </w:divBdr>
        </w:div>
        <w:div w:id="1651713809">
          <w:marLeft w:val="0"/>
          <w:marRight w:val="0"/>
          <w:marTop w:val="0"/>
          <w:marBottom w:val="0"/>
          <w:divBdr>
            <w:top w:val="none" w:sz="0" w:space="0" w:color="auto"/>
            <w:left w:val="none" w:sz="0" w:space="0" w:color="auto"/>
            <w:bottom w:val="none" w:sz="0" w:space="0" w:color="auto"/>
            <w:right w:val="none" w:sz="0" w:space="0" w:color="auto"/>
          </w:divBdr>
        </w:div>
        <w:div w:id="1426151629">
          <w:marLeft w:val="0"/>
          <w:marRight w:val="0"/>
          <w:marTop w:val="0"/>
          <w:marBottom w:val="0"/>
          <w:divBdr>
            <w:top w:val="none" w:sz="0" w:space="0" w:color="auto"/>
            <w:left w:val="none" w:sz="0" w:space="0" w:color="auto"/>
            <w:bottom w:val="none" w:sz="0" w:space="0" w:color="auto"/>
            <w:right w:val="none" w:sz="0" w:space="0" w:color="auto"/>
          </w:divBdr>
        </w:div>
        <w:div w:id="1578050027">
          <w:marLeft w:val="0"/>
          <w:marRight w:val="0"/>
          <w:marTop w:val="0"/>
          <w:marBottom w:val="0"/>
          <w:divBdr>
            <w:top w:val="none" w:sz="0" w:space="0" w:color="auto"/>
            <w:left w:val="none" w:sz="0" w:space="0" w:color="auto"/>
            <w:bottom w:val="none" w:sz="0" w:space="0" w:color="auto"/>
            <w:right w:val="none" w:sz="0" w:space="0" w:color="auto"/>
          </w:divBdr>
        </w:div>
      </w:divsChild>
    </w:div>
    <w:div w:id="1229995665">
      <w:bodyDiv w:val="1"/>
      <w:marLeft w:val="0"/>
      <w:marRight w:val="0"/>
      <w:marTop w:val="0"/>
      <w:marBottom w:val="0"/>
      <w:divBdr>
        <w:top w:val="none" w:sz="0" w:space="0" w:color="auto"/>
        <w:left w:val="none" w:sz="0" w:space="0" w:color="auto"/>
        <w:bottom w:val="none" w:sz="0" w:space="0" w:color="auto"/>
        <w:right w:val="none" w:sz="0" w:space="0" w:color="auto"/>
      </w:divBdr>
    </w:div>
    <w:div w:id="211644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34127-8015-4079-AB86-676947A2D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955</Words>
  <Characters>5448</Characters>
  <Application>Microsoft Office Word</Application>
  <DocSecurity>0</DocSecurity>
  <Lines>45</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 Navickienė</dc:creator>
  <cp:keywords/>
  <dc:description/>
  <cp:lastModifiedBy>Giedrutė Mikaločienė</cp:lastModifiedBy>
  <cp:revision>9</cp:revision>
  <dcterms:created xsi:type="dcterms:W3CDTF">2023-01-27T10:19:00Z</dcterms:created>
  <dcterms:modified xsi:type="dcterms:W3CDTF">2023-02-01T08:23:00Z</dcterms:modified>
</cp:coreProperties>
</file>